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07 ISO 27001</w:t>
      </w:r>
    </w:p>
    <w:p>
      <w:pPr>
        <w:pStyle w:val="Heading1"/>
      </w:pPr>
      <w:r>
        <w:t>ISO/IEC 27001:2022 + ISO/IEC 42001:2023 (AI ISMS)</w:t>
      </w:r>
    </w:p>
    <w:p>
      <w:r>
        <w:t>**Anticloud FZ LLE — PAX L5 Narrow L2 General 27B**</w:t>
      </w:r>
    </w:p>
    <w:p>
      <w:r>
        <w:t>Run: 2026-10-02T11:24:08.742217Z | Framework ID: 07_ISO_27001</w:t>
      </w:r>
    </w:p>
    <w:p>
      <w:pPr>
        <w:pStyle w:val="Heading2"/>
      </w:pPr>
      <w:r>
        <w:t>Standard</w:t>
      </w:r>
    </w:p>
    <w:p>
      <w:r>
        <w:t>ISO/IEC 27001:2022, ISO/IEC 42001:2023</w:t>
      </w:r>
    </w:p>
    <w:p>
      <w:pPr>
        <w:pStyle w:val="Heading2"/>
      </w:pPr>
      <w:r>
        <w:t>Result</w:t>
      </w:r>
    </w:p>
    <w:p>
      <w:r>
        <w:t>PASS — Annex A: A.5 (Policies), A.8 (Asset Mgmt), A.9 (Access Control), A.10 (Crypto), A.12 (Ops), A.14 (Dev)</w:t>
      </w:r>
    </w:p>
    <w:p>
      <w:pPr>
        <w:pStyle w:val="Heading2"/>
      </w:pPr>
      <w:r>
        <w:t>Score</w:t>
      </w:r>
    </w:p>
    <w:p>
      <w:r>
        <w:t>93 controls: CONFORMANT</w:t>
      </w:r>
    </w:p>
    <w:p>
      <w:pPr>
        <w:pStyle w:val="Heading2"/>
      </w:pPr>
      <w:r>
        <w:t>Notes</w:t>
      </w:r>
    </w:p>
    <w:p>
      <w:r>
        <w:t>AES-256-GCM + scrypt (SovereignMemory) satisfies A.10.1; AIOSS chain satisfies A.12.4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89f0a7de245489546c633d9712fbd849db16a3e3b1e8bc774edd2784a9cdd525 |</w:t>
      </w:r>
    </w:p>
    <w:p>
      <w:r>
        <w:t>| SHA3-256 (chain) | 6a4aa484ec569b7d2364798bf349d25f83a543c85005ab7b91ad3a49bb8ffdfb |</w:t>
      </w:r>
    </w:p>
    <w:p>
      <w:r>
        <w:t>| Timestamp UTC | 2026-10-02T11:24:08.742217Z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