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Compliance</w:t>
      </w:r>
    </w:p>
    <w:p>
      <w:pPr>
        <w:pStyle w:val="Heading1"/>
      </w:pPr>
      <w:r>
        <w:t>Compliance — YOMO</w:t>
      </w:r>
    </w:p>
    <w:p/>
    <w:p>
      <w:r>
        <w:rPr>
          <w:sz w:val="22"/>
        </w:rPr>
        <w:t>Upstream: https://github.com/Open-Source-Drilling-Community/YoMo</w:t>
      </w:r>
    </w:p>
    <w:p>
      <w:r>
        <w:rPr>
          <w:sz w:val="22"/>
        </w:rPr>
        <w:t>License: Apache 2.0</w:t>
      </w:r>
    </w:p>
    <w:p/>
    <w:p>
      <w:pPr>
        <w:pStyle w:val="Heading2"/>
      </w:pPr>
      <w:r>
        <w:t>License Compliance</w:t>
      </w:r>
    </w:p>
    <w:p/>
    <w:p>
      <w:r>
        <w:rPr>
          <w:sz w:val="22"/>
        </w:rPr>
        <w:t>- Upstream Apache 2.0 license preserved in all distributions</w:t>
      </w:r>
    </w:p>
    <w:p>
      <w:r>
        <w:rPr>
          <w:sz w:val="22"/>
        </w:rPr>
        <w:t>- No GPL/AGPL contamination in dependency tree</w:t>
      </w:r>
    </w:p>
    <w:p>
      <w:r>
        <w:rPr>
          <w:sz w:val="22"/>
        </w:rPr>
        <w:t>- Anticloud additions under Anticommons 0.1.0</w:t>
      </w:r>
    </w:p>
    <w:p>
      <w:r>
        <w:rPr>
          <w:sz w:val="22"/>
        </w:rPr>
        <w:t>- All dependencies pinned to audited versions</w:t>
      </w:r>
    </w:p>
    <w:p/>
    <w:p>
      <w:pPr>
        <w:pStyle w:val="Heading2"/>
      </w:pPr>
      <w:r>
        <w:t>Data Compliance</w:t>
      </w:r>
    </w:p>
    <w:p/>
    <w:p>
      <w:r>
        <w:rPr>
          <w:sz w:val="22"/>
        </w:rPr>
        <w:t>- AES-256 encryption at rest for all sensitive data</w:t>
      </w:r>
    </w:p>
    <w:p>
      <w:r>
        <w:rPr>
          <w:sz w:val="22"/>
        </w:rPr>
        <w:t>- AIOSS append-only audit trail (GDPR Article 30 aligned)</w:t>
      </w:r>
    </w:p>
    <w:p>
      <w:r>
        <w:rPr>
          <w:sz w:val="22"/>
        </w:rPr>
        <w:t>- Zero third-party data transmission in offline mode</w:t>
      </w:r>
    </w:p>
    <w:p>
      <w:r>
        <w:rPr>
          <w:sz w:val="22"/>
        </w:rPr>
        <w:t>- Role-based access control with cryptographic audit log</w:t>
      </w:r>
    </w:p>
    <w:p/>
    <w:p>
      <w:pPr>
        <w:pStyle w:val="Heading2"/>
      </w:pPr>
      <w:r>
        <w:t>Security Compliance</w:t>
      </w:r>
    </w:p>
    <w:p/>
    <w:p>
      <w:r>
        <w:rPr>
          <w:sz w:val="22"/>
        </w:rPr>
        <w:t>- OWASP Top 10 mitigations applied (see OFFICIAL_BENCHMARKS/03_OWASP.md)</w:t>
      </w:r>
    </w:p>
    <w:p>
      <w:r>
        <w:rPr>
          <w:sz w:val="22"/>
        </w:rPr>
        <w:t>- Dependency vulnerability scanning via local OSV database</w:t>
      </w:r>
    </w:p>
    <w:p>
      <w:r>
        <w:rPr>
          <w:sz w:val="22"/>
        </w:rPr>
        <w:t>- No telemetry or analytics transmitted externally</w:t>
      </w:r>
    </w:p>
    <w:p/>
    <w:p>
      <w:pPr>
        <w:pStyle w:val="Heading2"/>
      </w:pPr>
      <w:r>
        <w:t>Status</w:t>
      </w:r>
    </w:p>
    <w:p/>
    <w:p>
      <w:r>
        <w:rPr>
          <w:sz w:val="22"/>
        </w:rPr>
        <w:t>Compliance review pending first verified build.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