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13 FISMA</w:t>
      </w:r>
    </w:p>
    <w:p>
      <w:pPr>
        <w:pStyle w:val="Heading1"/>
      </w:pPr>
      <w:r>
        <w:t>FISMA 2014 (Federal Information Security Modernization Act)</w:t>
      </w:r>
    </w:p>
    <w:p>
      <w:r>
        <w:t>**Anticloud FZ LLE — PAX L5 Narrow L2 General 27B**</w:t>
      </w:r>
    </w:p>
    <w:p>
      <w:r>
        <w:t>Run: 2026-10-02T10:25:28.927156Z | Framework ID: 13_FISMA</w:t>
      </w:r>
    </w:p>
    <w:p>
      <w:pPr>
        <w:pStyle w:val="Heading2"/>
      </w:pPr>
      <w:r>
        <w:t>Standard</w:t>
      </w:r>
    </w:p>
    <w:p>
      <w:r>
        <w:t>FISMA 2014, OMB Circular A-130</w:t>
      </w:r>
    </w:p>
    <w:p>
      <w:pPr>
        <w:pStyle w:val="Heading2"/>
      </w:pPr>
      <w:r>
        <w:t>Result</w:t>
      </w:r>
    </w:p>
    <w:p>
      <w:r>
        <w:t>PASS — HIGH impact system; continuous monitoring via Observability module</w:t>
      </w:r>
    </w:p>
    <w:p>
      <w:pPr>
        <w:pStyle w:val="Heading2"/>
      </w:pPr>
      <w:r>
        <w:t>Score</w:t>
      </w:r>
    </w:p>
    <w:p>
      <w:r>
        <w:t>HIGH impact: AUTHORIZED</w:t>
      </w:r>
    </w:p>
    <w:p>
      <w:pPr>
        <w:pStyle w:val="Heading2"/>
      </w:pPr>
      <w:r>
        <w:t>Notes</w:t>
      </w:r>
    </w:p>
    <w:p>
      <w:r>
        <w:t>AIOSS append-only chain provides FISMA-compliant continuous monitoring evidence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7e6bc72ae3c53e077c06b6c47f807cbd7143b83cea805ab17e862db101fe38d7 |</w:t>
      </w:r>
    </w:p>
    <w:p>
      <w:r>
        <w:t>| SHA3-256 (chain) | df467bfa593a7cd01a3eb5daaf38cde71e09f3a30d6e43b7a785a03617010da2 |</w:t>
      </w:r>
    </w:p>
    <w:p>
      <w:r>
        <w:t>| Timestamp UTC | 2026-10-02T10:25:28.927156Z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