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17 TISAX</w:t>
      </w:r>
    </w:p>
    <w:p>
      <w:pPr>
        <w:pStyle w:val="Heading1"/>
      </w:pPr>
      <w:r>
        <w:t>TISAX (Trusted Information Security Assessment Exchange) AL2</w:t>
      </w:r>
    </w:p>
    <w:p>
      <w:r>
        <w:t>**Anticloud FZ LLE — PAX L5 Narrow L2 General 27B**</w:t>
      </w:r>
    </w:p>
    <w:p>
      <w:r>
        <w:t>Run: 2026-10-02T11:20:45.818645Z | Framework ID: 17_TISAX</w:t>
      </w:r>
    </w:p>
    <w:p>
      <w:pPr>
        <w:pStyle w:val="Heading2"/>
      </w:pPr>
      <w:r>
        <w:t>Standard</w:t>
      </w:r>
    </w:p>
    <w:p>
      <w:r>
        <w:t>VDA ISA 6.0.2 (2023), ENX TISAX AL2</w:t>
      </w:r>
    </w:p>
    <w:p>
      <w:pPr>
        <w:pStyle w:val="Heading2"/>
      </w:pPr>
      <w:r>
        <w:t>Result</w:t>
      </w:r>
    </w:p>
    <w:p>
      <w:r>
        <w:t>PASS — Information security, prototype protection, data protection at AL2</w:t>
      </w:r>
    </w:p>
    <w:p>
      <w:pPr>
        <w:pStyle w:val="Heading2"/>
      </w:pPr>
      <w:r>
        <w:t>Score</w:t>
      </w:r>
    </w:p>
    <w:p>
      <w:r>
        <w:t>AL2: COMPLIANT</w:t>
      </w:r>
    </w:p>
    <w:p>
      <w:pPr>
        <w:pStyle w:val="Heading2"/>
      </w:pPr>
      <w:r>
        <w:t>Notes</w:t>
      </w:r>
    </w:p>
    <w:p>
      <w:r>
        <w:t>Relevant for automotive supply chain use cases; AES-256-GCM and Zero Trust cover core controls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fb37b916f1c317c6bd48a882887182d36c4de5ac973a102bb28df61ac0e1c29a |</w:t>
      </w:r>
    </w:p>
    <w:p>
      <w:r>
        <w:t>| SHA3-256 (chain) | 1d2951d4b2bfafb794ee21fb100b10fa72a672f9421c2adcfd5dccce5d5b3754 |</w:t>
      </w:r>
    </w:p>
    <w:p>
      <w:r>
        <w:t>| Timestamp UTC | 2026-10-02T11:20:45.818645Z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