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20 COBIT 2019</w:t>
      </w:r>
    </w:p>
    <w:p>
      <w:pPr>
        <w:pStyle w:val="Heading1"/>
      </w:pPr>
      <w:r>
        <w:t>COBIT 2019 (Control Objectives for IT)</w:t>
      </w:r>
    </w:p>
    <w:p>
      <w:r>
        <w:t>**Anticloud FZ LLE — PAX L5 Narrow L2 General 27B**</w:t>
      </w:r>
    </w:p>
    <w:p>
      <w:r>
        <w:t>Run: 2026-10-02T11:20:46.502726Z | Framework ID: 20_COBIT_2019</w:t>
      </w:r>
    </w:p>
    <w:p>
      <w:pPr>
        <w:pStyle w:val="Heading2"/>
      </w:pPr>
      <w:r>
        <w:t>Standard</w:t>
      </w:r>
    </w:p>
    <w:p>
      <w:r>
        <w:t>COBIT 2019 Framework (ISACA)</w:t>
      </w:r>
    </w:p>
    <w:p>
      <w:pPr>
        <w:pStyle w:val="Heading2"/>
      </w:pPr>
      <w:r>
        <w:t>Result</w:t>
      </w:r>
    </w:p>
    <w:p>
      <w:r>
        <w:t>PASS — EDM (Governance), APO (Alignment), BAI (Build), DSS (Deliver), MEA (Monitor)</w:t>
      </w:r>
    </w:p>
    <w:p>
      <w:pPr>
        <w:pStyle w:val="Heading2"/>
      </w:pPr>
      <w:r>
        <w:t>Score</w:t>
      </w:r>
    </w:p>
    <w:p>
      <w:r>
        <w:t>Maturity Level 4 (Quantitatively Managed)</w:t>
      </w:r>
    </w:p>
    <w:p>
      <w:pPr>
        <w:pStyle w:val="Heading2"/>
      </w:pPr>
      <w:r>
        <w:t>Notes</w:t>
      </w:r>
    </w:p>
    <w:p>
      <w:r>
        <w:t>Observability module provides MEA01 monitoring; Provenance chain provides MEA02 assurance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a1ecec5f7dcf165d2117efe9e588889952e14e13d4fa4e51c7a3076f9f8c4884 |</w:t>
      </w:r>
    </w:p>
    <w:p>
      <w:r>
        <w:t>| SHA3-256 (chain) | b8d72b7e1bce7e91c8627512c0ca31822b71bd02afb662d9267a74fdc110a991 |</w:t>
      </w:r>
    </w:p>
    <w:p>
      <w:r>
        <w:t>| Timestamp UTC | 2026-10-02T11:20:46.502726Z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