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20 Cobit 2019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COBIT 2019 (Control Objectives for IT)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2026-10-02T09:25:20.242359Z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20_COBIT_2019</w:t>
            </w:r>
          </w:p>
        </w:tc>
      </w:tr>
    </w:tbl>
    <w:p>
      <w:pPr>
        <w:pStyle w:val="Heading2"/>
      </w:pPr>
      <w:r>
        <w:t>Standard</w:t>
      </w:r>
    </w:p>
    <w:p>
      <w:r>
        <w:t>COBIT 2019 Framework (ISACA)</w:t>
      </w:r>
    </w:p>
    <w:p>
      <w:pPr>
        <w:pStyle w:val="Heading2"/>
      </w:pPr>
      <w:r>
        <w:t>Result</w:t>
      </w:r>
    </w:p>
    <w:p>
      <w:r>
        <w:t>PASS — EDM (Governance), APO (Alignment), BAI (Build), DSS (Deliver), MEA (Monitor)</w:t>
      </w:r>
    </w:p>
    <w:p>
      <w:pPr>
        <w:pStyle w:val="Heading2"/>
      </w:pPr>
      <w:r>
        <w:t>Score</w:t>
      </w:r>
    </w:p>
    <w:p>
      <w:r>
        <w:t>Maturity Level 4 (Quantitatively Managed)</w:t>
      </w:r>
    </w:p>
    <w:p>
      <w:pPr>
        <w:pStyle w:val="Heading2"/>
      </w:pPr>
      <w:r>
        <w:t>Notes</w:t>
      </w:r>
    </w:p>
    <w:p>
      <w:r>
        <w:t>Observability module provides MEA01 monitoring; Provenance chain provides MEA02 assurance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a1ecec5f7dcf165d2117efe9e588889952e14e13d4fa4e51c7a3076f9f8c4884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196a1bed424186b5109a61f10319cded2a4da45ad8da1f5dda692f9114cf000d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2026-10-02T09:25:20.242359Z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