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23 SBOM</w:t>
      </w:r>
    </w:p>
    <w:p>
      <w:pPr>
        <w:pStyle w:val="Heading1"/>
      </w:pPr>
      <w:r>
        <w:t>SBOM (Software Bill of Materials) — NTIA/CISA Minimum Elements</w:t>
      </w:r>
    </w:p>
    <w:p>
      <w:r>
        <w:t>**Anticloud FZ LLE — PAX L5 Narrow L2 General 27B**</w:t>
      </w:r>
    </w:p>
    <w:p>
      <w:r>
        <w:t>Run: 2026-10-02T09:34:52.377717Z | Framework ID: 23_SBOM</w:t>
      </w:r>
    </w:p>
    <w:p>
      <w:pPr>
        <w:pStyle w:val="Heading2"/>
      </w:pPr>
      <w:r>
        <w:t>Standard</w:t>
      </w:r>
    </w:p>
    <w:p>
      <w:r>
        <w:t>NTIA SBOM Minimum Elements (2021), EO 14028 (2021), CISA SBOM guidance</w:t>
      </w:r>
    </w:p>
    <w:p>
      <w:pPr>
        <w:pStyle w:val="Heading2"/>
      </w:pPr>
      <w:r>
        <w:t>Result</w:t>
      </w:r>
    </w:p>
    <w:p>
      <w:r>
        <w:t>PASS — Supplier, Component, Version, Hash, Relationship all captured in manifest</w:t>
      </w:r>
    </w:p>
    <w:p>
      <w:pPr>
        <w:pStyle w:val="Heading2"/>
      </w:pPr>
      <w:r>
        <w:t>Score</w:t>
      </w:r>
    </w:p>
    <w:p>
      <w:r>
        <w:t>MINIMUM ELEMENTS: ALL PRESENT</w:t>
      </w:r>
    </w:p>
    <w:p>
      <w:pPr>
        <w:pStyle w:val="Heading2"/>
      </w:pPr>
      <w:r>
        <w:t>Notes</w:t>
      </w:r>
    </w:p>
    <w:p>
      <w:r>
        <w:t>SingleBinary.generate_build_manifest() produces SBOM-compatible manifest with SHA3-256 hashes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acf71857d6ede6b7ab48884a3ee83c58e351f0bd84e2cbb984d5a7440d0800c8 |</w:t>
      </w:r>
    </w:p>
    <w:p>
      <w:r>
        <w:t>| SHA3-256 (chain) | 226a98be49636948009befe90c4443f3b91e6c9a1ee92bd2bdcf4b3a62b300aa |</w:t>
      </w:r>
    </w:p>
    <w:p>
      <w:r>
        <w:t>| Timestamp UTC | 2026-10-02T09:34:52.377717Z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