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AUTOAWQ</w:t>
      </w:r>
    </w:p>
    <w:p/>
    <w:p>
      <w:pPr>
        <w:pStyle w:val="Heading2"/>
      </w:pPr>
      <w:r>
        <w:t>Why Anticloud Wins in CHIP_QUANTIZATION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https://github.com/casper-hansen/AutoAWQ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