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Memo - LLAMA_CPP</w:t>
      </w:r>
    </w:p>
    <w:p/>
    <w:p>
      <w:r>
        <w:t>Company: Anticloud FZ LLE</w:t>
      </w:r>
    </w:p>
    <w:p>
      <w:r>
        <w:t>Model: PAX L5 Narrow L2 General 27B</w:t>
      </w:r>
    </w:p>
    <w:p>
      <w:r>
        <w:t>Project: LLAMA_CPP | Category: CHIP_QUANTIZATION</w:t>
      </w:r>
    </w:p>
    <w:p>
      <w:r>
        <w:t>Upstream: https://github.com/ggerganov/llama.cpp (MIT)</w:t>
      </w:r>
    </w:p>
    <w:p/>
    <w:p>
      <w:pPr>
        <w:pStyle w:val="Heading2"/>
      </w:pPr>
      <w:r>
        <w:t>1. Opportunity</w:t>
      </w:r>
    </w:p>
    <w:p/>
    <w:p>
      <w:r>
        <w:t>Regulated operators need CPU/GPU LLM inference in C++ without data egress. Cloud-hosted alternatives leak data by architecture; Anticloud FZ LLE delivers LLAMA_CPP as an offline-first package with PAX L5 Narrow L2 General 27B inference on-device.</w:t>
      </w:r>
    </w:p>
    <w:p/>
    <w:p>
      <w:pPr>
        <w:pStyle w:val="Heading2"/>
      </w:pPr>
      <w:r>
        <w:t>2. Product</w:t>
      </w:r>
    </w:p>
    <w:p/>
    <w:p>
      <w:r>
        <w:t>LLAMA_CPP (https://github.com/ggerganov/llama.cpp, MIT) integrated with: local PAX L5 Narrow L2 General 27B inference (4-bit, single T4, offline), AIOSS ledger on every mutation (SHA3-256, device-local Ed25519 keys), AES-256-GCM at rest, single-binary installer. See 10_TECHNICAL_HANDOFF and 28_TECHNICAL_WHITEPAPER for architecture.</w:t>
      </w:r>
    </w:p>
    <w:p/>
    <w:p>
      <w:pPr>
        <w:pStyle w:val="Heading2"/>
      </w:pPr>
      <w:r>
        <w:t>3. Market &amp; Go-To-Market</w:t>
      </w:r>
    </w:p>
    <w:p/>
    <w:p>
      <w:r>
        <w:t>Category CHIP_QUANTIZATION; regulated verticals first (healthcare, defense, finance, government). Direct pilots + white-label partners. Pricing: per-project enterprise license (see 07_ENTERPRISE_LICENSE_AND_PRICING).</w:t>
      </w:r>
    </w:p>
    <w:p/>
    <w:p>
      <w:pPr>
        <w:pStyle w:val="Heading2"/>
      </w:pPr>
      <w:r>
        <w:t>4. Benchmarks &amp; Verification</w:t>
      </w:r>
    </w:p>
    <w:p/>
    <w:p>
      <w:r>
        <w:t>Kaggle v52: 4.1-4.2 tok/s single T4, 20/20 coherent, chain head 2828cffabd1d063a. Suite: MITRE ATT&amp;CK 100/100, NIST AI RMF 88%, TRL 7/9, ISO 27001 83%, EU AI Act 77.4%. Evidence in OFFICIAL_BENCHMARKS with AIOSS chain continuity. Lab results in ISOLATED_LAB_RESULTS where applicable.</w:t>
      </w:r>
    </w:p>
    <w:p/>
    <w:p>
      <w:pPr>
        <w:pStyle w:val="Heading2"/>
      </w:pPr>
      <w:r>
        <w:t>5. Team</w:t>
      </w:r>
    </w:p>
    <w:p/>
    <w:p>
      <w:r>
        <w:t>Lois-Kleinner Alpasan (Founder, CEO &amp; CTO) — sole builder of the 862-project corpus, PAX pipeline, AIOSS ledger, and KANTOR K5 hash. Hiring plan in INVESTOR_PACKAGE.</w:t>
      </w:r>
    </w:p>
    <w:p/>
    <w:p>
      <w:pPr>
        <w:pStyle w:val="Heading2"/>
      </w:pPr>
      <w:r>
        <w:t>6. Risks &amp; Mitigations</w:t>
      </w:r>
    </w:p>
    <w:p/>
    <w:p>
      <w:r>
        <w:t>- Upstream drift: mitigated by vendored offline mirror + SHA3-256 pinning (27_DEPENDENCIES).</w:t>
      </w:r>
    </w:p>
    <w:p>
      <w:r>
        <w:t>- Single-founder execution: mitigated by deterministic harness (every deliverable regenerable from scripts).</w:t>
      </w:r>
    </w:p>
    <w:p>
      <w:r>
        <w:t>- Regulatory change: compliance mappings versioned per release.</w:t>
      </w:r>
    </w:p>
    <w:p/>
    <w:p>
      <w:pPr>
        <w:pStyle w:val="Heading2"/>
      </w:pPr>
      <w:r>
        <w:t>7. Terms</w:t>
      </w:r>
    </w:p>
    <w:p/>
    <w:p>
      <w:r>
        <w:t>Non-dilutive preferred, initialization round. Private enquiries only, accredited/institutional.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