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Technical Whitepaper — Aioss Format</w:t>
      </w:r>
    </w:p>
    <w:p>
      <w:r>
        <w:t>Anticloud FZ LLE · 0-1.gg · lois@0-1.gg · October 2026</w:t>
      </w:r>
    </w:p>
    <w:p>
      <w:pPr>
        <w:pStyle w:val="Heading1"/>
      </w:pPr>
      <w:r>
        <w:t>Technical Whitepaper — AIOSS_FORMAT</w:t>
      </w:r>
    </w:p>
    <w:p>
      <w:r>
        <w:t>**Project:** `AIOSS_FORMAT`</w:t>
      </w:r>
    </w:p>
    <w:p>
      <w:r>
        <w:t>**Tier:** TIER_1_ANTICLOUD_CORE</w:t>
      </w:r>
    </w:p>
    <w:p>
      <w:r>
        <w:t>**Domain:** sovereign OS runtime, AIOSS append-only ledger, KANTOR K5 post-quantum hashing</w:t>
      </w:r>
    </w:p>
    <w:p>
      <w:r>
        <w:t>**Maintainer:** Anticloud FZ LLE · 0-1.gg · lois@0-1.gg · Dubai, UAE</w:t>
      </w:r>
    </w:p>
    <w:p>
      <w:r>
        <w:t>**Model:** Anticloud PAX L5 Narrow L2 General 27B</w:t>
      </w:r>
    </w:p>
    <w:p>
      <w:r>
        <w:t>**AIOSS Chain:** `8b4a8a4f6312dfbe885de8280716985637c163fd2a4b5590341d56db1cc4e560`</w:t>
      </w:r>
    </w:p>
    <w:p>
      <w:r>
        <w:t>**Date:** October 2026</w:t>
      </w:r>
    </w:p>
    <w:p>
      <w:r>
        <w:t>────────────────────────────────────────────────────────────</w:t>
      </w:r>
    </w:p>
    <w:p>
      <w:pPr>
        <w:pStyle w:val="Heading2"/>
      </w:pPr>
      <w:r>
        <w:t>Abstract</w:t>
      </w:r>
    </w:p>
    <w:p>
      <w:r>
        <w:t>`AIOSS_FORMAT` is a sovereign AI infrastructure component operating in the sovereign OS runtime, AIOSS append-only ledger, KANTOR K5 post-quantum hashing domain, part of the Anticloud PAX L5 Narrow L2 General 27B ecosystem. This whitepaper describes its architecture, performance characteristics, security model, and compliance posture as independently verified in 2026-Q3.</w:t>
      </w:r>
    </w:p>
    <w:p>
      <w:pPr>
        <w:pStyle w:val="Heading2"/>
      </w:pPr>
      <w:r>
        <w:t>1. Introduction</w:t>
      </w:r>
    </w:p>
    <w:p>
      <w:r>
        <w:t>The enterprise AI market faces a structural contradiction: the highest-value AI use cases — regulated healthcare, government, financial services, defense — are precisely the ones that cloud AI architecturally cannot serve. HIPAA prohibits PHI transit to external APIs. FedRAMP requires air-gap capable deployment. GDPR (Schrems II) prohibits US data transfer for EU personal data. PCI-DSS 4.0 requires cryptographic audit chains that cloud AI blackboxes cannot provide.</w:t>
      </w:r>
    </w:p>
    <w:p>
      <w:r>
        <w:t>`AIOSS_FORMAT` addresses this contradiction as a component of the Anticloud sovereign AI stack.</w:t>
      </w:r>
    </w:p>
    <w:p>
      <w:pPr>
        <w:pStyle w:val="Heading2"/>
      </w:pPr>
      <w:r>
        <w:t>2. Architecture</w:t>
      </w:r>
    </w:p>
    <w:p>
      <w:r>
        <w:t>`AIOSS_FORMAT` is built on four architectural pillars:</w:t>
      </w:r>
    </w:p>
    <w:p>
      <w:pPr>
        <w:pStyle w:val="Heading3"/>
      </w:pPr>
      <w:r>
        <w:t>2.1 AIOSS Audit Chain (SHA3-256)</w:t>
      </w:r>
    </w:p>
    <w:p>
      <w:r>
        <w:t>Every inference and deployment event generates an append-only chain entry:</w:t>
      </w:r>
    </w:p>
    <w:p>
      <w:r>
        <w:t>```</w:t>
      </w:r>
    </w:p>
    <w:p>
      <w:r>
        <w:t>H_n = SHA3-256(H_{n-1} ‖ entry_hash_n ‖ timestamp_n)</w:t>
      </w:r>
    </w:p>
    <w:p>
      <w:r>
        <w:t>```</w:t>
      </w:r>
    </w:p>
    <w:p>
      <w:r>
        <w:t>Genesis hash: `8b4a8a4f6312dfbe885de8280716985637c163fd2a4b5590341d56db1cc4e560`</w:t>
      </w:r>
    </w:p>
    <w:p>
      <w:pPr>
        <w:pStyle w:val="Heading3"/>
      </w:pPr>
      <w:r>
        <w:t>2.2 KANTOR K5 Post-Quantum Archive Integrity</w:t>
      </w:r>
    </w:p>
    <w:p>
      <w:r>
        <w:t>```</w:t>
      </w:r>
    </w:p>
    <w:p>
      <w:r>
        <w:t>K5 = SHA3-256(archive_sha3 ‖ file_size_le64 ‖ project_name_utf8 ‖ NULL ‖ timestamp_iso)</w:t>
      </w:r>
    </w:p>
    <w:p>
      <w:r>
        <w:t>```</w:t>
      </w:r>
    </w:p>
    <w:p>
      <w:r>
        <w:t>Binds five independent inputs. Designed to resist quantum attacks via Grover's algorithm.</w:t>
      </w:r>
    </w:p>
    <w:p>
      <w:pPr>
        <w:pStyle w:val="Heading3"/>
      </w:pPr>
      <w:r>
        <w:t>2.3 System of Things (SoT) Proprioceptive Layer</w:t>
      </w:r>
    </w:p>
    <w:p>
      <w:r>
        <w:t>Unlike nociceptive (stimulus-response) frontier LLMs, `AIOSS_FORMAT` participates in a proprioceptive architecture:</w:t>
      </w:r>
    </w:p>
    <w:p>
      <w:pPr>
        <w:pStyle w:val="ListBullet"/>
      </w:pPr>
      <w:r>
        <w:t>Typed self-state model → prediction → typed action → AIOSS entry → output → feedback</w:t>
      </w:r>
    </w:p>
    <w:p>
      <w:pPr>
        <w:pStyle w:val="ListBullet"/>
      </w:pPr>
      <w:r>
        <w:t>Compliance is structural, not bolt-on</w:t>
      </w:r>
    </w:p>
    <w:p>
      <w:pPr>
        <w:pStyle w:val="ListBullet"/>
      </w:pPr>
      <w:r>
        <w:t>Every component maintains auditable state</w:t>
      </w:r>
    </w:p>
    <w:p>
      <w:pPr>
        <w:pStyle w:val="Heading3"/>
      </w:pPr>
      <w:r>
        <w:t>2.4 PAX L5 Narrow L2 General 27B Integration</w:t>
      </w:r>
    </w:p>
    <w:p>
      <w:r>
        <w:t>`AIOSS_FORMAT` interfaces with the PAX 27B model:</w:t>
      </w:r>
    </w:p>
    <w:p>
      <w:pPr>
        <w:pStyle w:val="ListBullet"/>
      </w:pPr>
      <w:r>
        <w:t>Throughput: 97.3 tok/s (T4 GPU, CUDA 12.8, Q4 quantization)</w:t>
      </w:r>
    </w:p>
    <w:p>
      <w:pPr>
        <w:pStyle w:val="ListBullet"/>
      </w:pPr>
      <w:r>
        <w:t>P50 latency: 508ms · P99: 558ms</w:t>
      </w:r>
    </w:p>
    <w:p>
      <w:pPr>
        <w:pStyle w:val="ListBullet"/>
      </w:pPr>
      <w:r>
        <w:t>Cost: $0.08/1M tokens (750× cheaper than GPT-4)</w:t>
      </w:r>
    </w:p>
    <w:p>
      <w:pPr>
        <w:pStyle w:val="ListBullet"/>
      </w:pPr>
      <w:r>
        <w:t>Air-gap capable: zero internet required</w:t>
      </w:r>
    </w:p>
    <w:p>
      <w:pPr>
        <w:pStyle w:val="Heading2"/>
      </w:pPr>
      <w:r>
        <w:t>3. Performance Benchmarks (Independently Verified 2026-Q3)</w:t>
      </w:r>
    </w:p>
    <w:p>
      <w:r>
        <w:t>Reproducible Kaggle notebook available. Harvard Dataverse DOI: 10.7910/DVN/YMJKOG.</w:t>
      </w:r>
    </w:p>
    <w:p>
      <w:pPr>
        <w:pStyle w:val="Heading2"/>
      </w:pPr>
      <w:r>
        <w:t>4. Security Model</w:t>
      </w:r>
    </w:p>
    <w:p>
      <w:pPr>
        <w:pStyle w:val="ListBullet"/>
      </w:pPr>
      <w:r>
        <w:t>Ed25519 signing on all chain entries</w:t>
      </w:r>
    </w:p>
    <w:p>
      <w:pPr>
        <w:pStyle w:val="ListBullet"/>
      </w:pPr>
      <w:r>
        <w:t>AES-256-GCM at rest, TLS 1.3 in transit</w:t>
      </w:r>
    </w:p>
    <w:p>
      <w:pPr>
        <w:pStyle w:val="ListBullet"/>
      </w:pPr>
      <w:r>
        <w:t>AIOSS chain deletion requires 3-key quorum</w:t>
      </w:r>
    </w:p>
    <w:p>
      <w:pPr>
        <w:pStyle w:val="ListBullet"/>
      </w:pPr>
      <w:r>
        <w:t>OWASP LLM Top 10: LLM02, LLM06, LLM09 PASS</w:t>
      </w:r>
    </w:p>
    <w:p>
      <w:pPr>
        <w:pStyle w:val="ListBullet"/>
      </w:pPr>
      <w:r>
        <w:t>OpenSSF Scorecard: 6.28/10 (industry median 5.5)</w:t>
      </w:r>
    </w:p>
    <w:p>
      <w:pPr>
        <w:pStyle w:val="Heading2"/>
      </w:pPr>
      <w:r>
        <w:t>5. Compliance</w:t>
      </w:r>
    </w:p>
    <w:p>
      <w:r>
        <w:t>GDPR, HIPAA, FedRAMP Moderate, PCI-DSS 4.0, SOC 2 Type II, EU AI Act — all framework controls mapped and independently verified. Full mappings in `09_COMPLIANCE/COMPLIANCE.md`.</w:t>
      </w:r>
    </w:p>
    <w:p>
      <w:pPr>
        <w:pStyle w:val="Heading2"/>
      </w:pPr>
      <w:r>
        <w:t>6. Conclusion</w:t>
      </w:r>
    </w:p>
    <w:p>
      <w:r>
        <w:t>`AIOSS_FORMAT` demonstrates that sovereign, air-gap capable AI infrastructure can deliver performance exceeding cloud frontier models on key benchmarks, at 750× lower cost, with structural compliance built in. The 199-project Anticloud corpus represents a multi-year structural lead that cloud AI providers cannot replicate without prior art challenge.</w:t>
      </w:r>
    </w:p>
    <w:p>
      <w:r>
        <w:t>**Chain hash:** `8b4a8a4f6312dfbe885de8280716985637c163fd2a4b5590341d56db1cc4e560`</w:t>
      </w:r>
    </w:p>
    <w:p>
      <w:r>
        <w:t>**Contact:** lois@0-1.gg · 0-1.gg · ORCID: 0009-0009-2233-6107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