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16 HITRUST CSF</w:t>
      </w:r>
    </w:p>
    <w:p>
      <w:pPr>
        <w:pStyle w:val="Heading1"/>
      </w:pPr>
      <w:r>
        <w:t>HITRUST CSF v11.3 (Health Information Trust Alliance)</w:t>
      </w:r>
    </w:p>
    <w:p>
      <w:r>
        <w:t>**Anticloud FZ LLE — PAX L5 Narrow L2 General 27B**</w:t>
      </w:r>
    </w:p>
    <w:p>
      <w:r>
        <w:t>Run: 2026-10-02T10:57:09.552349Z | Framework ID: 16_HITRUST_CSF</w:t>
      </w:r>
    </w:p>
    <w:p>
      <w:pPr>
        <w:pStyle w:val="Heading2"/>
      </w:pPr>
      <w:r>
        <w:t>Standard</w:t>
      </w:r>
    </w:p>
    <w:p>
      <w:r>
        <w:t>HITRUST CSF v11.3 (2024)</w:t>
      </w:r>
    </w:p>
    <w:p>
      <w:pPr>
        <w:pStyle w:val="Heading2"/>
      </w:pPr>
      <w:r>
        <w:t>Result</w:t>
      </w:r>
    </w:p>
    <w:p>
      <w:r>
        <w:t>PASS — 49 control categories; encryption, access control, audit, incident response addressed</w:t>
      </w:r>
    </w:p>
    <w:p>
      <w:pPr>
        <w:pStyle w:val="Heading2"/>
      </w:pPr>
      <w:r>
        <w:t>Score</w:t>
      </w:r>
    </w:p>
    <w:p>
      <w:r>
        <w:t>e1 Assessment: PASS</w:t>
      </w:r>
    </w:p>
    <w:p>
      <w:pPr>
        <w:pStyle w:val="Heading2"/>
      </w:pPr>
      <w:r>
        <w:t>Notes</w:t>
      </w:r>
    </w:p>
    <w:p>
      <w:r>
        <w:t>Maps to HIPAA + ISO 27001 + NIST SP 800-53 simultaneously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24d03b0cc9c9ca0ea36e744df8311d78b2307f0f8c48182e6133895a54645b82 |</w:t>
      </w:r>
    </w:p>
    <w:p>
      <w:r>
        <w:t>| SHA3-256 (chain) | 0621dc3013eb3d7a282127f7fd5368883188ea36ac732510541503bb867f15ed |</w:t>
      </w:r>
    </w:p>
    <w:p>
      <w:r>
        <w:t>| Timestamp UTC | 2026-10-02T10:57:09.552349Z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