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20 COBIT 2019</w:t>
      </w:r>
    </w:p>
    <w:p>
      <w:pPr>
        <w:pStyle w:val="Heading1"/>
      </w:pPr>
      <w:r>
        <w:t>COBIT 2019 (Control Objectives for IT)</w:t>
      </w:r>
    </w:p>
    <w:p>
      <w:r>
        <w:t>**Anticloud FZ LLE — PAX L5 Narrow L2 General 27B**</w:t>
      </w:r>
    </w:p>
    <w:p>
      <w:r>
        <w:t>Run: 2026-10-02T08:46:50.926551Z | Framework ID: 20_COBIT_2019</w:t>
      </w:r>
    </w:p>
    <w:p>
      <w:pPr>
        <w:pStyle w:val="Heading2"/>
      </w:pPr>
      <w:r>
        <w:t>Standard</w:t>
      </w:r>
    </w:p>
    <w:p>
      <w:r>
        <w:t>COBIT 2019 Framework (ISACA)</w:t>
      </w:r>
    </w:p>
    <w:p>
      <w:pPr>
        <w:pStyle w:val="Heading2"/>
      </w:pPr>
      <w:r>
        <w:t>Result</w:t>
      </w:r>
    </w:p>
    <w:p>
      <w:r>
        <w:t>PASS — EDM (Governance), APO (Alignment), BAI (Build), DSS (Deliver), MEA (Monitor)</w:t>
      </w:r>
    </w:p>
    <w:p>
      <w:pPr>
        <w:pStyle w:val="Heading2"/>
      </w:pPr>
      <w:r>
        <w:t>Score</w:t>
      </w:r>
    </w:p>
    <w:p>
      <w:r>
        <w:t>Maturity Level 4 (Quantitatively Managed)</w:t>
      </w:r>
    </w:p>
    <w:p>
      <w:pPr>
        <w:pStyle w:val="Heading2"/>
      </w:pPr>
      <w:r>
        <w:t>Notes</w:t>
      </w:r>
    </w:p>
    <w:p>
      <w:r>
        <w:t>Observability module provides MEA01 monitoring; Provenance chain provides MEA02 assurance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a1ecec5f7dcf165d2117efe9e588889952e14e13d4fa4e51c7a3076f9f8c4884 |</w:t>
      </w:r>
    </w:p>
    <w:p>
      <w:r>
        <w:t>| SHA3-256 (chain) | f76be0f9bd0ce796e2751253d4869af59825b99a76f54c3882d3168eabdc39a8 |</w:t>
      </w:r>
    </w:p>
    <w:p>
      <w:r>
        <w:t>| Timestamp UTC | 2026-10-02T08:46:50.926551Z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