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04 NIST AI RMF</w:t>
      </w:r>
    </w:p>
    <w:p>
      <w:pPr>
        <w:pStyle w:val="Heading1"/>
      </w:pPr>
      <w:r>
        <w:t>NIST AI Risk Management Framework 1.0 + GenAI Profile</w:t>
      </w:r>
    </w:p>
    <w:p>
      <w:r>
        <w:t>**Anticloud FZ LLE — PAX L5 Narrow L2 General 27B**</w:t>
      </w:r>
    </w:p>
    <w:p>
      <w:r>
        <w:t>Run: 2026-10-02T08:47:25.737657Z | Framework ID: 04_NIST_AI_RMF</w:t>
      </w:r>
    </w:p>
    <w:p>
      <w:pPr>
        <w:pStyle w:val="Heading2"/>
      </w:pPr>
      <w:r>
        <w:t>Standard</w:t>
      </w:r>
    </w:p>
    <w:p>
      <w:r>
        <w:t>NIST AI RMF 1.0 (2023), NIST AI 600-1 (2024)</w:t>
      </w:r>
    </w:p>
    <w:p>
      <w:pPr>
        <w:pStyle w:val="Heading2"/>
      </w:pPr>
      <w:r>
        <w:t>Result</w:t>
      </w:r>
    </w:p>
    <w:p>
      <w:r>
        <w:t>PASS — GOVERN 98%, MAP 97%, MEASURE 96%, MANAGE 99%</w:t>
      </w:r>
    </w:p>
    <w:p>
      <w:pPr>
        <w:pStyle w:val="Heading2"/>
      </w:pPr>
      <w:r>
        <w:t>Score</w:t>
      </w:r>
    </w:p>
    <w:p>
      <w:r>
        <w:t>Overall maturity: 97.5%</w:t>
      </w:r>
    </w:p>
    <w:p>
      <w:pPr>
        <w:pStyle w:val="Heading2"/>
      </w:pPr>
      <w:r>
        <w:t>Notes</w:t>
      </w:r>
    </w:p>
    <w:p>
      <w:r>
        <w:t>PAX L5 Narrow L2 General 27B documented under GOVERN 1.1; Provenance chain covers MEASURE 2.5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cbe79adf2b1b0c5ac2059649e46faad0f1baa5867cd254c0526a9d5e6d004ef1 |</w:t>
      </w:r>
    </w:p>
    <w:p>
      <w:r>
        <w:t>| SHA3-256 (chain) | 1ff1c3bbb52b2123c92c4cda8b37b8adf6ee3e1eecb9e3d64b711a5c909807fa |</w:t>
      </w:r>
    </w:p>
    <w:p>
      <w:r>
        <w:t>| Timestamp UTC | 2026-10-02T08:47:25.737657Z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