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Hiring Plan — Anticloud FZ LLE</w:t>
      </w:r>
    </w:p>
    <w:p>
      <w:r>
        <w:rPr>
          <w:color w:val="7A7A77"/>
          <w:sz w:val="18"/>
        </w:rPr>
        <w:t>Anticloud FZ LLE · 0-1.gg · lois@0-1.gg · Dubai, UAE · 2026-10-01T13:21:28Z</w:t>
      </w:r>
    </w:p>
    <w:p/>
    <w:p>
      <w:pPr>
        <w:pStyle w:val="Heading1"/>
      </w:pPr>
      <w:r>
        <w:t>Hiring Plan — Anticloud FZ LLE</w:t>
      </w:r>
    </w:p>
    <w:p>
      <w:r/>
      <w:r>
        <w:rPr>
          <w:b/>
        </w:rPr>
        <w:t>Maintainer:</w:t>
      </w:r>
      <w:r>
        <w:t xml:space="preserve"> Anticloud FZ LLE · 0-1.gg  </w:t>
      </w:r>
    </w:p>
    <w:p>
      <w:r/>
      <w:r>
        <w:rPr>
          <w:b/>
        </w:rPr>
        <w:t>Contact:</w:t>
      </w:r>
      <w:r>
        <w:t xml:space="preserve"> lois@0-1.gg  </w:t>
      </w:r>
    </w:p>
    <w:p>
      <w:r/>
      <w:r>
        <w:rPr>
          <w:b/>
        </w:rPr>
        <w:t>Date:</w:t>
      </w:r>
      <w:r>
        <w:t xml:space="preserve"> October 2026</w:t>
      </w:r>
    </w:p>
    <w:p>
      <w:r>
        <w:t>────────────────────────────────────────────────────────────────────────────────</w:t>
      </w:r>
    </w:p>
    <w:p>
      <w:pPr>
        <w:pStyle w:val="Heading2"/>
      </w:pPr>
      <w:r>
        <w:t>Strategic Premise</w:t>
      </w:r>
    </w:p>
    <w:p>
      <w:r>
        <w:t>The AI labor market in 2025–2026 is structurally dislocated. Frontier labs, F-500 technology divisions, and AI startups have executed waves of delayering — cost-cutting headcount reductions that have put world-class ML engineers, AI safety researchers, and infrastructure engineers onto the market at significant compensation discounts from their prior packages. These are not underperformers. They are highly credentialed, experienced, and actively looking for environments that are technically serious and financially stable.</w:t>
      </w:r>
    </w:p>
    <w:p>
      <w:r>
        <w:t>Anticloud's hiring strategy targets this specific pool: ex-frontier lab (Meta, Google DeepMind, OpenAI, Anthropic, Oracle AI) and F-500 AI division talent, acquired at structural market discount, retained through competitive long-term compensation, equity alignment, and an environment that eliminates the reasons people hop.</w:t>
      </w:r>
    </w:p>
    <w:p>
      <w:r/>
      <w:r>
        <w:rPr>
          <w:b/>
        </w:rPr>
        <w:t>The core insight:</w:t>
      </w:r>
      <w:r>
        <w:t xml:space="preserve"> a 30% engineering allocation on an $80M raise ($24M) can acquire and retain a world-class 12–15 person team for 36+ months if structured correctly. The goal is not headcount — it is capability density and retention.</w:t>
      </w:r>
    </w:p>
    <w:p>
      <w:r>
        <w:t>────────────────────────────────────────────────────────────────────────────────</w:t>
      </w:r>
    </w:p>
    <w:p>
      <w:pPr>
        <w:pStyle w:val="Heading2"/>
      </w:pPr>
      <w:r>
        <w:t>Retention Philosophy</w:t>
      </w:r>
    </w:p>
    <w:p>
      <w:r>
        <w:t>High turnover in AI teams is not primarily a compensation problem. It is an environment problem. Engineers at frontier labs leave because:</w:t>
      </w:r>
    </w:p>
    <w:p>
      <w:r>
        <w:t>1. Bureaucracy and org politics slow technical progress</w:t>
      </w:r>
    </w:p>
    <w:p>
      <w:r>
        <w:t>2. Their work ships into a blackbox product they cannot publish or claim</w:t>
      </w:r>
    </w:p>
    <w:p>
      <w:r>
        <w:t>3. The mission has drifted from research to product shipping under commercial pressure</w:t>
      </w:r>
    </w:p>
    <w:p>
      <w:r>
        <w:t>4. Lack of ownership, credit, and attribution</w:t>
      </w:r>
    </w:p>
    <w:p>
      <w:r>
        <w:t>Anticloud's retention strategy addresses each directly:</w:t>
      </w:r>
    </w:p>
    <w:p>
      <w:pPr>
        <w:pStyle w:val="ListBullet"/>
      </w:pPr>
      <w:r>
        <w:t>Flat structure: no middle management layers between engineer and founder</w:t>
      </w:r>
    </w:p>
    <w:p>
      <w:pPr>
        <w:pStyle w:val="ListBullet"/>
      </w:pPr>
      <w:r>
        <w:t>Open corpus: all 123 projects are publicly attributed, citable, and ORCID-linked</w:t>
      </w:r>
    </w:p>
    <w:p>
      <w:pPr>
        <w:pStyle w:val="ListBullet"/>
      </w:pPr>
      <w:r>
        <w:t>Mission coherence: the technical agenda (proprioceptive AI, AIOSS, SoT) is the product — there is no drift between research and deployment</w:t>
      </w:r>
    </w:p>
    <w:p>
      <w:pPr>
        <w:pStyle w:val="ListBullet"/>
      </w:pPr>
      <w:r>
        <w:t>Long retainer contracts with milestone bonuses: 24–36 month agreements with performance-linked upside, reducing incentive to hop</w:t>
      </w:r>
    </w:p>
    <w:p>
      <w:pPr>
        <w:pStyle w:val="ListBullet"/>
      </w:pPr>
      <w:r>
        <w:t>Competitive base + equity pool: OTE at or above frontier lab levels, not discounted because of market conditions</w:t>
      </w:r>
    </w:p>
    <w:p>
      <w:r/>
      <w:r>
        <w:rPr>
          <w:b/>
        </w:rPr>
        <w:t>The structural discount is captured at hire; the retention is purchased through environment and long-term contracts, not through underpaying and hoping people stay.</w:t>
      </w:r>
      <w:r/>
    </w:p>
    <w:p>
      <w:r>
        <w:t>────────────────────────────────────────────────────────────────────────────────</w:t>
      </w:r>
    </w:p>
    <w:p>
      <w:pPr>
        <w:pStyle w:val="Heading2"/>
      </w:pPr>
      <w:r>
        <w:t>First 5 Hires (Post-Initialization Round, 0–12 Months)</w:t>
      </w:r>
    </w:p>
    <w:p>
      <w:pPr>
        <w:pStyle w:val="Heading3"/>
      </w:pPr>
      <w:r>
        <w:t>Hire 1 — Principal ML Researcher (Model Architecture)</w:t>
      </w:r>
    </w:p>
    <w:p>
      <w:r/>
      <w:r>
        <w:rPr>
          <w:b/>
        </w:rPr>
        <w:t>Target profile:</w:t>
      </w:r>
      <w:r>
        <w:t xml:space="preserve"> Ex-Meta FAIR, Google DeepMind, or Anthropic. 5+ years post-PhD. Published work in efficient transformers, quantization, or neurosymbolic reasoning. Comfortable with 27B–70B parameter models and fine-tuning pipelines.</w:t>
      </w:r>
    </w:p>
    <w:p>
      <w:r/>
      <w:r>
        <w:rPr>
          <w:b/>
        </w:rPr>
        <w:t>Role:</w:t>
      </w:r>
      <w:r>
        <w:t xml:space="preserve"> Leads PAX architecture evolution: TRL 7 → TRL 8 closure, SoT proprioceptive layer development, concept-grounded representation research (post-tokenization agenda). First paper output within 6 months — ORCID-linked, Zenodo-archived.</w:t>
      </w:r>
    </w:p>
    <w:p>
      <w:r/>
      <w:r>
        <w:rPr>
          <w:b/>
        </w:rPr>
        <w:t>Compensation range:</w:t>
      </w:r>
      <w:r>
        <w:t xml:space="preserve"> $350K–$500K OTE (base + performance) + 0.5–1.5% equity. 36-month retainer with 12-month cliff.</w:t>
      </w:r>
    </w:p>
    <w:p>
      <w:r>
        <w:t>────────────────────────────────────────────────────────────────────────────────</w:t>
      </w:r>
    </w:p>
    <w:p>
      <w:pPr>
        <w:pStyle w:val="Heading3"/>
      </w:pPr>
      <w:r>
        <w:t>Hire 2 — Principal Infrastructure / MLOps Engineer</w:t>
      </w:r>
    </w:p>
    <w:p>
      <w:r/>
      <w:r>
        <w:rPr>
          <w:b/>
        </w:rPr>
        <w:t>Target profile:</w:t>
      </w:r>
      <w:r>
        <w:t xml:space="preserve"> Ex-Oracle AI, AWS Bedrock team, or Google Vertex AI infrastructure. 7+ years in distributed inference, quantization serving, and air-gap deployment. CUDA optimization background.</w:t>
      </w:r>
    </w:p>
    <w:p>
      <w:r/>
      <w:r>
        <w:rPr>
          <w:b/>
        </w:rPr>
        <w:t>Role:</w:t>
      </w:r>
      <w:r>
        <w:t xml:space="preserve"> Owns the inference stack: PAX serving optimization, AIOSS ledger performance, air-gap deployment tooling, CI/CD pipeline for the 123-project corpus. Closes TRL 8 CI/CD gap in benchmark suite.</w:t>
      </w:r>
    </w:p>
    <w:p>
      <w:r/>
      <w:r>
        <w:rPr>
          <w:b/>
        </w:rPr>
        <w:t>Compensation range:</w:t>
      </w:r>
      <w:r>
        <w:t xml:space="preserve"> $320K–$450K OTE + 0.5–1% equity. 36-month retainer.</w:t>
      </w:r>
    </w:p>
    <w:p>
      <w:r>
        <w:t>────────────────────────────────────────────────────────────────────────────────</w:t>
      </w:r>
    </w:p>
    <w:p>
      <w:pPr>
        <w:pStyle w:val="Heading3"/>
      </w:pPr>
      <w:r>
        <w:t>Hire 3 — AI Safety and Compliance Lead</w:t>
      </w:r>
    </w:p>
    <w:p>
      <w:r/>
      <w:r>
        <w:rPr>
          <w:b/>
        </w:rPr>
        <w:t>Target profile:</w:t>
      </w:r>
      <w:r>
        <w:t xml:space="preserve"> Ex-frontier lab AI safety team or ex-NIST/MITRE contractor. Deep familiarity with NIST AI RMF, EU AI Act high-risk system requirements, FedRAMP authorization process, HIPAA technical safeguards. Publication record preferred.</w:t>
      </w:r>
    </w:p>
    <w:p>
      <w:r/>
      <w:r>
        <w:rPr>
          <w:b/>
        </w:rPr>
        <w:t>Role:</w:t>
      </w:r>
      <w:r>
        <w:t xml:space="preserve"> Drives FedRAMP Moderate authorization process, EU AI Act conformity assessments, HIPAA BAA technical implementation, and SOC 2 Type II observation period. Produces independently publishable compliance reports per quarter.</w:t>
      </w:r>
    </w:p>
    <w:p>
      <w:r/>
      <w:r>
        <w:rPr>
          <w:b/>
        </w:rPr>
        <w:t>Compensation range:</w:t>
      </w:r>
      <w:r>
        <w:t xml:space="preserve"> $280K–$380K OTE + 0.3–0.8% equity. 24-month retainer.</w:t>
      </w:r>
    </w:p>
    <w:p>
      <w:r>
        <w:t>────────────────────────────────────────────────────────────────────────────────</w:t>
      </w:r>
    </w:p>
    <w:p>
      <w:pPr>
        <w:pStyle w:val="Heading3"/>
      </w:pPr>
      <w:r>
        <w:t>Hire 4 — Enterprise Solutions Engineer (Regulated Verticals)</w:t>
      </w:r>
    </w:p>
    <w:p>
      <w:r/>
      <w:r>
        <w:rPr>
          <w:b/>
        </w:rPr>
        <w:t>Target profile:</w:t>
      </w:r>
      <w:r>
        <w:t xml:space="preserve"> Ex-Palantir AIP, ex-Oracle Health, or ex-AWS Public Sector. Technical pre-sales and deployment background in healthcare, defense, or financial services. Can run a HIPAA gap assessment and a PAX proof-of-concept in the same week.</w:t>
      </w:r>
    </w:p>
    <w:p>
      <w:r/>
      <w:r>
        <w:rPr>
          <w:b/>
        </w:rPr>
        <w:t>Role:</w:t>
      </w:r>
      <w:r>
        <w:t xml:space="preserve"> Owns design partner onboarding, technical pilot execution, and enterprise deployment support. First design partner revenue within 6 months of hire. Builds the reference customer case study library.</w:t>
      </w:r>
    </w:p>
    <w:p>
      <w:r/>
      <w:r>
        <w:rPr>
          <w:b/>
        </w:rPr>
        <w:t>Compensation range:</w:t>
      </w:r>
      <w:r>
        <w:t xml:space="preserve"> $220K–$320K OTE (base + commission) + 0.2–0.5% equity.</w:t>
      </w:r>
    </w:p>
    <w:p>
      <w:r>
        <w:t>────────────────────────────────────────────────────────────────────────────────</w:t>
      </w:r>
    </w:p>
    <w:p>
      <w:pPr>
        <w:pStyle w:val="Heading3"/>
      </w:pPr>
      <w:r>
        <w:t>Hire 5 — Head of Research Communications / Developer Relations</w:t>
      </w:r>
    </w:p>
    <w:p>
      <w:r/>
      <w:r>
        <w:rPr>
          <w:b/>
        </w:rPr>
        <w:t>Target profile:</w:t>
      </w:r>
      <w:r>
        <w:t xml:space="preserve"> Ex-Hugging Face, ex-EleutherAI, or senior technical writer with ML publication background. Comfortable writing papers, benchmark methodology docs, and short-form content in the same week.</w:t>
      </w:r>
    </w:p>
    <w:p>
      <w:r/>
      <w:r>
        <w:rPr>
          <w:b/>
        </w:rPr>
        <w:t>Role:</w:t>
      </w:r>
      <w:r>
        <w:t xml:space="preserve"> Owns the content flywheel: research writeups for High-DA platforms, Dev.to articles, HackerNews posts, benchmark methodology documentation, short-form content scripts for YouTube Shorts and TikTok. Ensures every PAX result is independently verifiable and publicly indexed within 48 hours of generation.</w:t>
      </w:r>
    </w:p>
    <w:p>
      <w:r/>
      <w:r>
        <w:rPr>
          <w:b/>
        </w:rPr>
        <w:t>Compensation range:</w:t>
      </w:r>
      <w:r>
        <w:t xml:space="preserve"> $180K–$260K OTE + 0.2–0.4% equity.</w:t>
      </w:r>
    </w:p>
    <w:p>
      <w:r>
        <w:t>────────────────────────────────────────────────────────────────────────────────</w:t>
      </w:r>
    </w:p>
    <w:p>
      <w:pPr>
        <w:pStyle w:val="Heading2"/>
      </w:pPr>
      <w:r>
        <w:t>Hires 6–12 (12–24 Months, Post-Design-Partner Revenue)</w:t>
      </w:r>
    </w:p>
    <w:p>
      <w:r>
        <w:t>Role | Target Background | Comp Range</w:t>
      </w:r>
    </w:p>
    <w:p>
      <w:r>
        <w:t>--- | --- | ---</w:t>
      </w:r>
    </w:p>
    <w:p>
      <w:r>
        <w:t>ML Engineer — Fine-tuning | Ex-Meta RLHF team | $280K–$380K</w:t>
      </w:r>
    </w:p>
    <w:p>
      <w:r>
        <w:t>Security Engineer | Ex-MITRE ATT&amp;CK, ex-CrowdStrike | $260K–$360K</w:t>
      </w:r>
    </w:p>
    <w:p>
      <w:r>
        <w:t>Embedded Systems / IoT Engineer | Ex-Tesla Autopilot, ex-Boston Dynamics | $260K–$350K</w:t>
      </w:r>
    </w:p>
    <w:p>
      <w:r>
        <w:t>Enterprise Account Executive | Ex-Palantir, ex-Databricks | $220K–$400K OTE</w:t>
      </w:r>
    </w:p>
    <w:p>
      <w:r>
        <w:t>Legal / IP Counsel (in-house) | USPTO patent prosecution background | $250K–$350K</w:t>
      </w:r>
    </w:p>
    <w:p>
      <w:r>
        <w:t>Biosignal / EEG Research Engineer | Academic + industry background | $240K–$320K</w:t>
      </w:r>
    </w:p>
    <w:p>
      <w:r>
        <w:t>DevOps / Platform Engineer | Kubernetes, air-gap infra | $220K–$300K</w:t>
      </w:r>
    </w:p>
    <w:p>
      <w:r>
        <w:t>────────────────────────────────────────────────────────────────────────────────</w:t>
      </w:r>
    </w:p>
    <w:p>
      <w:pPr>
        <w:pStyle w:val="Heading2"/>
      </w:pPr>
      <w:r>
        <w:t>Total Compensation Budget</w:t>
      </w:r>
    </w:p>
    <w:p>
      <w:r>
        <w:t>Phase | Headcount | Annual Payroll Estimate | Equity Pool</w:t>
      </w:r>
    </w:p>
    <w:p>
      <w:r>
        <w:t>--- | --- | --- | ---</w:t>
      </w:r>
    </w:p>
    <w:p>
      <w:r>
        <w:t>Phase 1 (0–12 months) | 5 hires | ~$1.8M–$2.5M/yr | ~3–5% of cap table</w:t>
      </w:r>
    </w:p>
    <w:p>
      <w:r>
        <w:t>Phase 2 (12–24 months) | +7 hires | ~$4M–$6M/yr total | ~5–8% of cap table</w:t>
      </w:r>
    </w:p>
    <w:p>
      <w:r>
        <w:t>Phase 3 (24–36 months) | +5–10 hires | ~$6M–$10M/yr total | ~8–12% of cap table</w:t>
      </w:r>
    </w:p>
    <w:p>
      <w:r>
        <w:t>At $24M engineering allocation (30% of $80M raise), Phase 1 and Phase 2 are fully funded with compute and infrastructure margin.</w:t>
      </w:r>
    </w:p>
    <w:p>
      <w:r>
        <w:t>────────────────────────────────────────────────────────────────────────────────</w:t>
      </w:r>
    </w:p>
    <w:p>
      <w:pPr>
        <w:pStyle w:val="Heading2"/>
      </w:pPr>
      <w:r>
        <w:t>Why This Team Wins</w:t>
      </w:r>
    </w:p>
    <w:p>
      <w:r>
        <w:t>The combination of ex-frontier lab technical depth + long retainer structure + open attribution + mission coherence creates a team that is:</w:t>
      </w:r>
    </w:p>
    <w:p>
      <w:pPr>
        <w:pStyle w:val="ListBullet"/>
      </w:pPr>
      <w:r>
        <w:t>**More capable** than a startup-salary team hired at market discount</w:t>
      </w:r>
    </w:p>
    <w:p>
      <w:pPr>
        <w:pStyle w:val="ListBullet"/>
      </w:pPr>
      <w:r>
        <w:t>**More stable** than a frontier lab team subject to commercial re-prioritization</w:t>
      </w:r>
    </w:p>
    <w:p>
      <w:pPr>
        <w:pStyle w:val="ListBullet"/>
      </w:pPr>
      <w:r>
        <w:t>**More productive** than a larger team with management overhead</w:t>
      </w:r>
    </w:p>
    <w:p>
      <w:r>
        <w:t>Every hire is a research asset, not just a headcount. Their output — papers, benchmark results, compliance reports, open-source contributions — compounds the corpus and the brand simultaneously.</w:t>
      </w:r>
    </w:p>
    <w:p>
      <w:r>
        <w:t>────────────────────────────────────────────────────────────────────────────────</w:t>
      </w:r>
    </w:p>
    <w:p>
      <w:r/>
      <w:r>
        <w:rPr>
          <w:b/>
        </w:rPr>
        <w:t>Prepared by:</w:t>
      </w:r>
      <w:r>
        <w:t xml:space="preserve"> Anticloud FZ LLE Internal  </w:t>
      </w:r>
    </w:p>
    <w:p>
      <w:r/>
      <w:r>
        <w:rPr>
          <w:b/>
        </w:rPr>
        <w:t>AIOSS chain hash:</w:t>
      </w:r>
      <w:r>
        <w:t xml:space="preserve"> `8b4a8a4f6312dfbe885de8280716985637c163fd2a4b5590341d56db1cc4e560`</w:t>
      </w:r>
    </w:p>
    <w:p/>
    <w:p>
      <w:r>
        <w:rPr>
          <w:color w:val="7A7A77"/>
          <w:sz w:val="16"/>
        </w:rPr>
        <w:t>AIOSS Chain: 8b4a8a4f6312dfbe885de8280716985637c163fd2a4b5590341d56db1cc4e560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