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Use of Funds — Anticloud FZ LLE</w:t>
      </w:r>
    </w:p>
    <w:p>
      <w:r>
        <w:rPr>
          <w:color w:val="7A7A77"/>
          <w:sz w:val="18"/>
        </w:rPr>
        <w:t>Anticloud FZ LLE · 0-1.gg · lois@0-1.gg · Dubai, UAE · 2026-10-01T13:21:28Z</w:t>
      </w:r>
    </w:p>
    <w:p/>
    <w:p>
      <w:pPr>
        <w:pStyle w:val="Heading1"/>
      </w:pPr>
      <w:r>
        <w:t>Use of Funds — Anticloud FZ LLE</w:t>
      </w:r>
    </w:p>
    <w:p>
      <w:r/>
      <w:r>
        <w:rPr>
          <w:b/>
        </w:rPr>
        <w:t>Maintainer:</w:t>
      </w:r>
      <w:r>
        <w:t xml:space="preserve"> Anticloud FZ LLE · 0-1.gg  </w:t>
      </w:r>
    </w:p>
    <w:p>
      <w:r/>
      <w:r>
        <w:rPr>
          <w:b/>
        </w:rPr>
        <w:t>Contact:</w:t>
      </w:r>
      <w:r>
        <w:t xml:space="preserve"> lois@0-1.gg  </w:t>
      </w:r>
    </w:p>
    <w:p>
      <w:r/>
      <w:r>
        <w:rPr>
          <w:b/>
        </w:rPr>
        <w:t>Date:</w:t>
      </w:r>
      <w:r>
        <w:t xml:space="preserve"> October 2026  </w:t>
      </w:r>
    </w:p>
    <w:p>
      <w:r/>
      <w:r>
        <w:rPr>
          <w:b/>
        </w:rPr>
        <w:t>Entity:</w:t>
      </w:r>
      <w:r>
        <w:t xml:space="preserve"> Anticloud FZ LLE, Dubai Free Zone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Allocation Framework</w:t>
      </w:r>
    </w:p>
    <w:p>
      <w:r>
        <w:t>Category | % | Purpose</w:t>
      </w:r>
    </w:p>
    <w:p>
      <w:r>
        <w:t>--- | --- | ---</w:t>
      </w:r>
    </w:p>
    <w:p>
      <w:r>
        <w:t>Engineering | 30% | Hires, compute, infrastructure</w:t>
      </w:r>
    </w:p>
    <w:p>
      <w:r>
        <w:t>GTM | 20% | Distribution, UGC, influencer, memetics</w:t>
      </w:r>
    </w:p>
    <w:p>
      <w:r>
        <w:t>Legal | 10% | IP prosecution, compliance, contracts</w:t>
      </w:r>
    </w:p>
    <w:p>
      <w:r>
        <w:t>Holding / Reinvestment | 20% | Capital deployment, financial returns</w:t>
      </w:r>
    </w:p>
    <w:p>
      <w:r>
        <w:t>Owner Discretionary | 10% | Emergency procurement, org flexibility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Scenario A — $80M Raise at 10% Equity ($800M Pre-Money Valuation)</w:t>
      </w:r>
    </w:p>
    <w:p>
      <w:r>
        <w:t>Category | Amount | Specific Deployment</w:t>
      </w:r>
    </w:p>
    <w:p>
      <w:r>
        <w:t>--- | --- | ---</w:t>
      </w:r>
    </w:p>
    <w:p>
      <w:r>
        <w:t>**Engineering — $24M** | 30% | 8–12 senior hires (ex-labs, ex-Oracle, ex-Google): avg $350K–$500K OTE + equity pool. Compute: 4× H100 nodes (~$600K/yr). CI/CD, MLOps, red team infrastructure. 24-month burn runway on engineering.</w:t>
      </w:r>
    </w:p>
    <w:p>
      <w:r>
        <w:t>**GTM — $16M** | 20% | UGC production studio and paid amplification ($4M). Influencer and platform automation across LinkedIn, X, YouTube ($3M). Memetics and imprint strategy — how the AI market perceives Anticloud's narrative ($3M). Enterprise sales team: 4 AEs + 2 SEs, target Fortune 500 regulated verticals ($4M). Event presence: RSA, AWS re:Invent, HIMSS, DoD events ($2M).</w:t>
      </w:r>
    </w:p>
    <w:p>
      <w:r>
        <w:t>**Legal — $8M** | 10% | USPTO prosecution for KANTOR K5 and AIOSS format ($400K). International IP filing (PCT, EU, UAE, GCC) ($600K). Enterprise contract counsel, BAA/DPA templates ($1M). Regulatory counsel (EU AI Act, FedRAMP authorization) ($2M). M&amp;A / acquisition defense reserve ($4M).</w:t>
      </w:r>
    </w:p>
    <w:p>
      <w:r>
        <w:t>**Holding / Reinvestment — $16M** | 20% | High-return, low-time investments: treasury instruments, short-duration bonds, strategic LP positions in aligned funds. Capital preservation with 6–12% target return to extend runway without dilution.</w:t>
      </w:r>
    </w:p>
    <w:p>
      <w:r>
        <w:t>**Owner Discretionary — $8M** | 10% | Emergency procurement, strategic acquisitions of distressed AI assets, founder reserve for organizational pivots not foreseeable at raise.</w:t>
      </w:r>
    </w:p>
    <w:p>
      <w:r/>
      <w:r>
        <w:rPr>
          <w:b/>
        </w:rPr>
        <w:t>Total: $80M</w:t>
      </w:r>
      <w:r>
        <w:t xml:space="preserve">  </w:t>
      </w:r>
    </w:p>
    <w:p>
      <w:r/>
      <w:r>
        <w:rPr>
          <w:b/>
        </w:rPr>
        <w:t>Implied valuation at raise: $800M pre-money</w:t>
      </w:r>
      <w:r>
        <w:t xml:space="preserve">  </w:t>
      </w:r>
    </w:p>
    <w:p>
      <w:r/>
      <w:r>
        <w:rPr>
          <w:b/>
        </w:rPr>
        <w:t>Runway at $80M: 36–48 months to Series A / profitability</w:t>
      </w:r>
      <w:r/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Scenario B — $1M Raise (Angel / Non-Dilutive Preferred / Design Partner)</w:t>
      </w:r>
    </w:p>
    <w:p>
      <w:r>
        <w:t>Category | Amount | Specific Deployment</w:t>
      </w:r>
    </w:p>
    <w:p>
      <w:r>
        <w:t>--- | --- | ---</w:t>
      </w:r>
    </w:p>
    <w:p>
      <w:r>
        <w:t>**Engineering — $300K** | 30% | 1 senior ML engineer hire (6-month contract) + compute credits for PAX fine-tuning on 2–3 regulated-vertical datasets. TRL 7 → TRL 8 milestone.</w:t>
      </w:r>
    </w:p>
    <w:p>
      <w:r>
        <w:t>**GTM — $200K** | 20% | First enterprise design partner outreach: 2 regulated-vertical pilots (healthcare + finance). UGC seeding and press syndication. lois@0-1.gg inbound pipeline activation.</w:t>
      </w:r>
    </w:p>
    <w:p>
      <w:r>
        <w:t>**Legal — $100K** | 10% | USPTO provisional filing for KANTOR K5. BAA template for HIPAA design partners. UAE regulatory counsel for FZ expansion.</w:t>
      </w:r>
    </w:p>
    <w:p>
      <w:r>
        <w:t>**Holding / Reinvestment — $200K** | 20% | Capital preservation + infrastructure pre-payment (GPU reservation, bandwidth) to extend runway beyond the engineering spend.</w:t>
      </w:r>
    </w:p>
    <w:p>
      <w:r>
        <w:t>**Owner Discretionary — $100K** | 10% | Emergency procurement, event travel (RSA, GITEX Dubai), prototype hardware.</w:t>
      </w:r>
    </w:p>
    <w:p>
      <w:r/>
      <w:r>
        <w:rPr>
          <w:b/>
        </w:rPr>
        <w:t>Total: $1M</w:t>
      </w:r>
      <w:r>
        <w:t xml:space="preserve">  </w:t>
      </w:r>
    </w:p>
    <w:p>
      <w:r/>
      <w:r>
        <w:rPr>
          <w:b/>
        </w:rPr>
        <w:t>Best use case:</w:t>
      </w:r>
      <w:r>
        <w:t xml:space="preserve"> First paying design partner, TRL 8 milestone, press and pipeline activation.  </w:t>
      </w:r>
    </w:p>
    <w:p>
      <w:r/>
      <w:r>
        <w:rPr>
          <w:b/>
        </w:rPr>
        <w:t>Runway at $1M: 6–9 months to demonstrated enterprise revenue</w:t>
      </w:r>
      <w:r/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Unit Economics Context</w:t>
      </w:r>
    </w:p>
    <w:p>
      <w:r>
        <w:t>Metric | Value | Notes</w:t>
      </w:r>
    </w:p>
    <w:p>
      <w:r>
        <w:t>--- | --- | ---</w:t>
      </w:r>
    </w:p>
    <w:p>
      <w:r>
        <w:t>PAX cost per 1M tokens | $0.08 | T4 GPU, UAE compute rate</w:t>
      </w:r>
    </w:p>
    <w:p>
      <w:r>
        <w:t>Enterprise deployment cost | ~$15–50K setup | Hardware + integration</w:t>
      </w:r>
    </w:p>
    <w:p>
      <w:r>
        <w:t>Annual license (enterprise) | $18K–$5M | By org tier</w:t>
      </w:r>
    </w:p>
    <w:p>
      <w:r>
        <w:t>Gross margin (software) | ~85–92% | After compute, no salaries counted</w:t>
      </w:r>
    </w:p>
    <w:p>
      <w:r>
        <w:t>Cost to develop most of stack | ~$0 marginal | Open-source corpus, founder-built</w:t>
      </w:r>
    </w:p>
    <w:p>
      <w:r>
        <w:t>PAX training / fine-tuning cost | Low thousands per run | Primary capex item</w:t>
      </w:r>
    </w:p>
    <w:p>
      <w:r>
        <w:t>Anticloud's development cost structure is structurally near-zero for the software corpus — the primary capex is model training and fine-tuning. Engineering hires accelerate velocity; they do not unlock the technology, which exists already.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Prepared by:</w:t>
      </w:r>
      <w:r>
        <w:t xml:space="preserve"> Anticloud FZ LLE Internal  </w:t>
      </w:r>
    </w:p>
    <w:p>
      <w:r/>
      <w:r>
        <w:rPr>
          <w:b/>
        </w:rPr>
        <w:t>Chain hash (AIOSS):</w:t>
      </w:r>
      <w:r>
        <w:t xml:space="preserve"> `8b4a8a4f6312dfbe885de8280716985637c163fd2a4b5590341d56db1cc4e560`</w:t>
      </w:r>
    </w:p>
    <w:p/>
    <w:p>
      <w:r>
        <w:rPr>
          <w:color w:val="7A7A77"/>
          <w:sz w:val="16"/>
        </w:rPr>
        <w:t>AIOSS Chain: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