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20 COBIT 2019</w:t>
      </w:r>
    </w:p>
    <w:p>
      <w:pPr>
        <w:pStyle w:val="Heading1"/>
      </w:pPr>
      <w:r>
        <w:t>COBIT 2019 (Control Objectives for IT)</w:t>
      </w:r>
    </w:p>
    <w:p>
      <w:r>
        <w:t>**Anticloud FZ LLE — PAX L5 Narrow L2 General 27B**</w:t>
      </w:r>
    </w:p>
    <w:p>
      <w:r>
        <w:t>Run: 2026-10-02T08:57:25.235919Z | Framework ID: 20_COBIT_2019</w:t>
      </w:r>
    </w:p>
    <w:p>
      <w:pPr>
        <w:pStyle w:val="Heading2"/>
      </w:pPr>
      <w:r>
        <w:t>Standard</w:t>
      </w:r>
    </w:p>
    <w:p>
      <w:r>
        <w:t>COBIT 2019 Framework (ISACA)</w:t>
      </w:r>
    </w:p>
    <w:p>
      <w:pPr>
        <w:pStyle w:val="Heading2"/>
      </w:pPr>
      <w:r>
        <w:t>Result</w:t>
      </w:r>
    </w:p>
    <w:p>
      <w:r>
        <w:t>PASS — EDM (Governance), APO (Alignment), BAI (Build), DSS (Deliver), MEA (Monitor)</w:t>
      </w:r>
    </w:p>
    <w:p>
      <w:pPr>
        <w:pStyle w:val="Heading2"/>
      </w:pPr>
      <w:r>
        <w:t>Score</w:t>
      </w:r>
    </w:p>
    <w:p>
      <w:r>
        <w:t>Maturity Level 4 (Quantitatively Managed)</w:t>
      </w:r>
    </w:p>
    <w:p>
      <w:pPr>
        <w:pStyle w:val="Heading2"/>
      </w:pPr>
      <w:r>
        <w:t>Notes</w:t>
      </w:r>
    </w:p>
    <w:p>
      <w:r>
        <w:t>Observability module provides MEA01 monitoring; Provenance chain provides MEA02 assurance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a1ecec5f7dcf165d2117efe9e588889952e14e13d4fa4e51c7a3076f9f8c4884 |</w:t>
      </w:r>
    </w:p>
    <w:p>
      <w:r>
        <w:t>| SHA3-256 (chain) | 61369328e165c5e65a689add6a2b938448c4ee1996d4c52a92e32703d6a8c7dc |</w:t>
      </w:r>
    </w:p>
    <w:p>
      <w:r>
        <w:t>| Timestamp UTC | 2026-10-02T08:57:25.235919Z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