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</w:pPr>
      <w:r>
        <w:t>SOC 1 Type II Readiness (SSAE 18) — api-oss-embed</w:t>
      </w:r>
    </w:p>
    <w:p/>
    <w:p>
      <w:r>
        <w:t>Company: Anticloud FZ LLE | Scope: Financial Reporting Controls</w:t>
      </w:r>
    </w:p>
    <w:p/>
    <w:p>
      <w:pPr>
        <w:pStyle w:val="Heading2"/>
      </w:pPr>
      <w:r>
        <w:t>Scope</w:t>
      </w:r>
    </w:p>
    <w:p/>
    <w:p>
      <w:r>
        <w:t>api-oss-embed may be used in financial reporting contexts where user organizations</w:t>
      </w:r>
    </w:p>
    <w:p>
      <w:r>
        <w:t>require assurance over controls affecting financial data integrity.</w:t>
      </w:r>
    </w:p>
    <w:p/>
    <w:p>
      <w:pPr>
        <w:pStyle w:val="Heading2"/>
      </w:pPr>
      <w:r>
        <w:t>Control Objectives</w:t>
      </w:r>
    </w:p>
    <w:p/>
    <w:p>
      <w:r>
        <w:t>| Objective | Control | Test | Result |</w:t>
      </w:r>
    </w:p>
    <w:p>
      <w:r>
        <w:t>| --- | --- | --- | --- |</w:t>
      </w:r>
    </w:p>
    <w:p>
      <w:r>
        <w:t>| CO-1: Data Integrity | AIOSS append-only ledger on all mutations | Chain hash verification | PASS |</w:t>
      </w:r>
    </w:p>
    <w:p>
      <w:r>
        <w:t>| CO-2: Access Control | Zero-trust mTLS, no shared credentials | mTLS handshake test | PASS |</w:t>
      </w:r>
    </w:p>
    <w:p>
      <w:r>
        <w:t>| CO-3: Audit Trail | Provenance chain: input→output hashes | Hash roundtrip test | PASS |</w:t>
      </w:r>
    </w:p>
    <w:p>
      <w:r>
        <w:t>| CO-4: Encryption | AES-256-GCM at rest, scrypt key derivation | Known-plaintext test | PASS |</w:t>
      </w:r>
    </w:p>
    <w:p>
      <w:r>
        <w:t>| CO-5: Change Management | Deterministic builds, binary hash in manifest | Source→binary hash | PASS |</w:t>
      </w:r>
    </w:p>
    <w:p>
      <w:r>
        <w:t>| CO-6: Availability | Offline-first, single binary, no cloud SLA | Cold-start test | PASS |</w:t>
      </w:r>
    </w:p>
    <w:p>
      <w:r>
        <w:t>| CO-7: Incident Detection | Local observability, AIOSS anomaly detection | Chain break test | PASS |</w:t>
      </w:r>
    </w:p>
    <w:p/>
    <w:p>
      <w:pPr>
        <w:pStyle w:val="Heading2"/>
      </w:pPr>
      <w:r>
        <w:t>Complementary User Entity Controls (CUECs)</w:t>
      </w:r>
    </w:p>
    <w:p/>
    <w:p>
      <w:r>
        <w:t>User organizations are responsible for:</w:t>
      </w:r>
    </w:p>
    <w:p>
      <w:r>
        <w:t>- Physical security of deployment hardware</w:t>
      </w:r>
    </w:p>
    <w:p>
      <w:r>
        <w:t>- Network perimeter security</w:t>
      </w:r>
    </w:p>
    <w:p>
      <w:r>
        <w:t>- Key management (Sovereign Memory password)</w:t>
      </w:r>
    </w:p>
    <w:p>
      <w:r>
        <w:t>- User access provisioning via mTLS cert issuance</w:t>
      </w:r>
    </w:p>
    <w:p/>
    <w:p>
      <w:pPr>
        <w:pStyle w:val="Heading2"/>
      </w:pPr>
      <w:r>
        <w:t>Conclusion</w:t>
      </w:r>
    </w:p>
    <w:p/>
    <w:p>
      <w:r>
        <w:t>api-oss-embed provides a control environment suitable for financial reporting contexts</w:t>
      </w:r>
    </w:p>
    <w:p>
      <w:r>
        <w:t>requiring offline, auditable, tamper-evident data processing.</w:t>
      </w:r>
    </w:p>
    <w:p/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Lois-Kleinner Alpasan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