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23 SBOM</w:t>
      </w:r>
    </w:p>
    <w:p>
      <w:pPr>
        <w:pStyle w:val="Heading1"/>
      </w:pPr>
      <w:r>
        <w:t>SBOM (Software Bill of Materials) — NTIA/CISA Minimum Elements</w:t>
      </w:r>
    </w:p>
    <w:p>
      <w:r>
        <w:t>**Anticloud FZ LLE — PAX L5 Narrow L2 General 27B**</w:t>
      </w:r>
    </w:p>
    <w:p>
      <w:r>
        <w:t>Run: 2026-10-02T08:59:34.804838Z | Framework ID: 23_SBOM</w:t>
      </w:r>
    </w:p>
    <w:p>
      <w:pPr>
        <w:pStyle w:val="Heading2"/>
      </w:pPr>
      <w:r>
        <w:t>Standard</w:t>
      </w:r>
    </w:p>
    <w:p>
      <w:r>
        <w:t>NTIA SBOM Minimum Elements (2021), EO 14028 (2021), CISA SBOM guidance</w:t>
      </w:r>
    </w:p>
    <w:p>
      <w:pPr>
        <w:pStyle w:val="Heading2"/>
      </w:pPr>
      <w:r>
        <w:t>Result</w:t>
      </w:r>
    </w:p>
    <w:p>
      <w:r>
        <w:t>PASS — Supplier, Component, Version, Hash, Relationship all captured in manifest</w:t>
      </w:r>
    </w:p>
    <w:p>
      <w:pPr>
        <w:pStyle w:val="Heading2"/>
      </w:pPr>
      <w:r>
        <w:t>Score</w:t>
      </w:r>
    </w:p>
    <w:p>
      <w:r>
        <w:t>MINIMUM ELEMENTS: ALL PRESENT</w:t>
      </w:r>
    </w:p>
    <w:p>
      <w:pPr>
        <w:pStyle w:val="Heading2"/>
      </w:pPr>
      <w:r>
        <w:t>Notes</w:t>
      </w:r>
    </w:p>
    <w:p>
      <w:r>
        <w:t>SingleBinary.generate_build_manifest() produces SBOM-compatible manifest with SHA3-256 hashes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acf71857d6ede6b7ab48884a3ee83c58e351f0bd84e2cbb984d5a7440d0800c8 |</w:t>
      </w:r>
    </w:p>
    <w:p>
      <w:r>
        <w:t>| SHA3-256 (chain) | e18505910675bc094f146c4f2f237925efba95c0180b39526601b299b7dd0a4d |</w:t>
      </w:r>
    </w:p>
    <w:p>
      <w:r>
        <w:t>| Timestamp UTC | 2026-10-02T08:59:34.804838Z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