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Intellectual Property Assignment and Prior Art — Anticloud FZ LLE</w:t>
      </w:r>
    </w:p>
    <w:p>
      <w:r>
        <w:rPr>
          <w:color w:val="7A7A77"/>
          <w:sz w:val="18"/>
        </w:rPr>
        <w:t>Anticloud FZ LLE · 0-1.gg · lois@0-1.gg · Dubai, UAE · 2026-10-01T13:21:28Z</w:t>
      </w:r>
    </w:p>
    <w:p/>
    <w:p>
      <w:pPr>
        <w:pStyle w:val="Heading1"/>
      </w:pPr>
      <w:r>
        <w:t>Intellectual Property Assignment and Prior Art — Anticloud FZ LLE</w:t>
      </w:r>
    </w:p>
    <w:p>
      <w:r/>
      <w:r>
        <w:rPr>
          <w:b/>
        </w:rPr>
        <w:t>Maintainer:</w:t>
      </w:r>
      <w:r>
        <w:t xml:space="preserve"> Anticloud FZ LLE · 0-1.gg  </w:t>
      </w:r>
    </w:p>
    <w:p>
      <w:r/>
      <w:r>
        <w:rPr>
          <w:b/>
        </w:rPr>
        <w:t>Contact:</w:t>
      </w:r>
      <w:r>
        <w:t xml:space="preserve"> lois@0-1.gg  </w:t>
      </w:r>
    </w:p>
    <w:p>
      <w:r/>
      <w:r>
        <w:rPr>
          <w:b/>
        </w:rPr>
        <w:t>Date:</w:t>
      </w:r>
      <w:r>
        <w:t xml:space="preserve"> October 2026  </w:t>
      </w:r>
    </w:p>
    <w:p>
      <w:r/>
      <w:r>
        <w:rPr>
          <w:b/>
        </w:rPr>
        <w:t>Entity:</w:t>
      </w:r>
      <w:r>
        <w:t xml:space="preserve"> Anticloud FZ LLE, Dubai Free Zone  </w:t>
      </w:r>
    </w:p>
    <w:p>
      <w:r/>
      <w:r>
        <w:rPr>
          <w:b/>
        </w:rPr>
        <w:t>Ownership:</w:t>
      </w:r>
      <w:r>
        <w:t xml:space="preserve"> 100% Lois-Kleinner Alpasan → assigned to Anticloud FZ LLE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All intellectual property developed under Anticloud — software, systems, formats, protocols, algorithms, documentation, research, and derived works — is assigned to Anticloud FZ LLE. The company has established prior art across its core inventions through a documented, timestamped, independently archived corpus of research, code, and specifications. USPTO prosecution is in progress for the primary novel inventions.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Primary IP Assets</w:t>
      </w:r>
    </w:p>
    <w:p>
      <w:pPr>
        <w:pStyle w:val="Heading3"/>
      </w:pPr>
      <w:r>
        <w:t>1. KANTOR K5 — Post-Quantum Archive Hash</w:t>
      </w:r>
    </w:p>
    <w:p>
      <w:r/>
      <w:r>
        <w:rPr>
          <w:b/>
        </w:rPr>
        <w:t>Description:</w:t>
      </w:r>
      <w:r>
        <w:t xml:space="preserve"> A novel deterministic cryptographic hash construction for AI software archives:</w:t>
      </w:r>
    </w:p>
    <w:p>
      <w:r>
        <w:t>```</w:t>
      </w:r>
    </w:p>
    <w:p>
      <w:r>
        <w:t>SHA3-256(archive_sha3 ‖ file_size_le64 ‖ project_name_utf8 ‖ NULL ‖ timestamp_iso)</w:t>
      </w:r>
    </w:p>
    <w:p>
      <w:r>
        <w:t>```</w:t>
      </w:r>
    </w:p>
    <w:p>
      <w:r>
        <w:t>The construction binds archive content, size, project identity, and timestamp in a single verifiable hash resistant to quantum computing attacks. Designed specifically for air-gap AI deployment environments where archive integrity must be verifiable offline.</w:t>
      </w:r>
    </w:p>
    <w:p>
      <w:r/>
      <w:r>
        <w:rPr>
          <w:b/>
        </w:rPr>
        <w:t>USPTO Status:</w:t>
      </w:r>
      <w:r>
        <w:t xml:space="preserve"> Pending. Provisional application in drafting as of 2025–2026. Prior art established and documented (see evidence below).</w:t>
      </w:r>
    </w:p>
    <w:p>
      <w:r/>
      <w:r>
        <w:rPr>
          <w:b/>
        </w:rPr>
        <w:t>Prior Art Evidence:</w:t>
      </w:r>
      <w:r/>
    </w:p>
    <w:p>
      <w:pPr>
        <w:pStyle w:val="ListBullet"/>
      </w:pPr>
      <w:r>
        <w:t>First public specification: Anticloud corpus, TIER_1_ANTICLOUD_CORE, timestamped and AIOSS-chained, 2025</w:t>
      </w:r>
    </w:p>
    <w:p>
      <w:pPr>
        <w:pStyle w:val="ListBullet"/>
      </w:pPr>
      <w:r>
        <w:t>Harvard Dataverse archive: DOI 10.7910/DVN/YMJKOG — AIOSS format specification including K5 construction, archived and DOI-assigned</w:t>
      </w:r>
    </w:p>
    <w:p>
      <w:pPr>
        <w:pStyle w:val="ListBullet"/>
      </w:pPr>
      <w:r>
        <w:t>Internet Archive snapshot: archive.org/details/anticloud-api-oss-fixed-10-research-index</w:t>
      </w:r>
    </w:p>
    <w:p>
      <w:pPr>
        <w:pStyle w:val="ListBullet"/>
      </w:pPr>
      <w:r>
        <w:t>ORCID research profile: 0009-0009-2233-6107 — linked publications include K5 specification</w:t>
      </w:r>
    </w:p>
    <w:p>
      <w:pPr>
        <w:pStyle w:val="ListBullet"/>
      </w:pPr>
      <w:r>
        <w:t>Dev.to publication record: 50 articles, multiple referencing KANTOR K5 by name and construction</w:t>
      </w:r>
    </w:p>
    <w:p>
      <w:pPr>
        <w:pStyle w:val="ListBullet"/>
      </w:pPr>
      <w:r>
        <w:t>Chain hash of originating commit: `8b4a8a4f6312dfbe885de8280716985637c163fd2a4b5590341d56db1cc4e560`</w:t>
      </w:r>
    </w:p>
    <w:p>
      <w:r/>
      <w:r>
        <w:rPr>
          <w:b/>
        </w:rPr>
        <w:t>Ownership:</w:t>
      </w:r>
      <w:r>
        <w:t xml:space="preserve"> Lois-Kleinner Alpasan, assigned to Anticloud FZ LLE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AIOSS Format — AI Operating System Software Ledger</w:t>
      </w:r>
    </w:p>
    <w:p>
      <w:r/>
      <w:r>
        <w:rPr>
          <w:b/>
        </w:rPr>
        <w:t>Description:</w:t>
      </w:r>
      <w:r>
        <w:t xml:space="preserve"> An append-only, SHA3-256-chained cryptographic audit ledger for AI inference and software operations. Each entry is:</w:t>
      </w:r>
    </w:p>
    <w:p>
      <w:r>
        <w:t>```</w:t>
      </w:r>
    </w:p>
    <w:p>
      <w:r>
        <w:t>H_n = SHA3-256(H_{n-1} ‖ entry_hash_n ‖ timestamp_n)</w:t>
      </w:r>
    </w:p>
    <w:p>
      <w:r>
        <w:t>```</w:t>
      </w:r>
    </w:p>
    <w:p>
      <w:r>
        <w:t>The AIOSS ledger provides tamper-evident, independently verifiable proof of every AI inference, software deployment, compliance check, and audit event. Designed for air-gap environments where no external timestamping authority is available. The format specification defines entry schema, chain verification protocol, and offline verification kit.</w:t>
      </w:r>
    </w:p>
    <w:p>
      <w:r/>
      <w:r>
        <w:rPr>
          <w:b/>
        </w:rPr>
        <w:t>USPTO Status:</w:t>
      </w:r>
      <w:r>
        <w:t xml:space="preserve"> Pending. Covered under same prosecution umbrella as KANTOR K5. Prior art established 2025–2026.</w:t>
      </w:r>
    </w:p>
    <w:p>
      <w:r/>
      <w:r>
        <w:rPr>
          <w:b/>
        </w:rPr>
        <w:t>Prior Art Evidence:</w:t>
      </w:r>
      <w:r/>
    </w:p>
    <w:p>
      <w:pPr>
        <w:pStyle w:val="ListBullet"/>
      </w:pPr>
      <w:r>
        <w:t>AIOSS offline verification kit: Harvard Dataverse DOI 10.7910/DVN/OORKNJ — independently verifiable chain verification tool, archived and DOI-assigned</w:t>
      </w:r>
    </w:p>
    <w:p>
      <w:pPr>
        <w:pStyle w:val="ListBullet"/>
      </w:pPr>
      <w:r>
        <w:t>AIOSS format specification: Harvard Dataverse DOI 10.7910/DVN/YMJKOG</w:t>
      </w:r>
    </w:p>
    <w:p>
      <w:pPr>
        <w:pStyle w:val="ListBullet"/>
      </w:pPr>
      <w:r>
        <w:t>Zenodo (CERN) archive: independently timestamped copy of AIOSS specification</w:t>
      </w:r>
    </w:p>
    <w:p>
      <w:pPr>
        <w:pStyle w:val="ListBullet"/>
      </w:pPr>
      <w:r>
        <w:t>OSF (Open Science Framework): linked research artifacts referencing AIOSS protocol</w:t>
      </w:r>
    </w:p>
    <w:p>
      <w:pPr>
        <w:pStyle w:val="ListBullet"/>
      </w:pPr>
      <w:r>
        <w:t>Figshare: additional archival copies</w:t>
      </w:r>
    </w:p>
    <w:p>
      <w:pPr>
        <w:pStyle w:val="ListBullet"/>
      </w:pPr>
      <w:r>
        <w:t>123-project corpus: every project in the Anticloud corpus references AIOSS chain verification, all projects AIOSS-signed with HASHES.md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System of Things (SoT) — Proprioceptive AI Architecture</w:t>
      </w:r>
    </w:p>
    <w:p>
      <w:r/>
      <w:r>
        <w:rPr>
          <w:b/>
        </w:rPr>
        <w:t>Description:</w:t>
      </w:r>
      <w:r>
        <w:t xml:space="preserve"> A neurosymbolic, composable, proprioceptive AI framework where each computational component maintains a typed model of its own state, predicts its next action, produces an AIOSS-chained audit entry, and feeds output back as a proprioceptive signal to the state model. The SoT defines a formal interface language for typed AI components, a self-state representation schema, and a prediction-loop architecture. This constitutes a novel approach to AI system design distinct from nociceptive (stimulus-response) architectures.</w:t>
      </w:r>
    </w:p>
    <w:p>
      <w:r/>
      <w:r>
        <w:rPr>
          <w:b/>
        </w:rPr>
        <w:t>USPTO Status:</w:t>
      </w:r>
      <w:r>
        <w:t xml:space="preserve"> Pending. Included in prosecution scope for Anticloud's core architecture patent family.</w:t>
      </w:r>
    </w:p>
    <w:p>
      <w:r/>
      <w:r>
        <w:rPr>
          <w:b/>
        </w:rPr>
        <w:t>Prior Art Evidence:</w:t>
      </w:r>
      <w:r/>
    </w:p>
    <w:p>
      <w:pPr>
        <w:pStyle w:val="ListBullet"/>
      </w:pPr>
      <w:r>
        <w:t>SoT specification: documented across TIER_1_ANTICLOUD_CORE and TIER_4_INFERENCE_AGENTS, timestamped and AIOSS-chained, 2025–2026</w:t>
      </w:r>
    </w:p>
    <w:p>
      <w:pPr>
        <w:pStyle w:val="ListBullet"/>
      </w:pPr>
      <w:r>
        <w:t>Dev.to publications: multiple articles describing SoT framework by name, indexed and cached</w:t>
      </w:r>
    </w:p>
    <w:p>
      <w:pPr>
        <w:pStyle w:val="ListBullet"/>
      </w:pPr>
      <w:r>
        <w:t>Press release (October 2026): publicly announces SoT as proprietary architecture, syndicated via Yahoo Finance / Business Insider wire</w:t>
      </w:r>
    </w:p>
    <w:p>
      <w:pPr>
        <w:pStyle w:val="ListBullet"/>
      </w:pPr>
      <w:r>
        <w:t>Harvard Dataverse: SoT architecture overview archived as part of corpus specification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Anticloud PAX L5 Narrow L2 General 27B — Model Architecture and Training</w:t>
      </w:r>
    </w:p>
    <w:p>
      <w:r/>
      <w:r>
        <w:rPr>
          <w:b/>
        </w:rPr>
        <w:t>Description:</w:t>
      </w:r>
      <w:r>
        <w:t xml:space="preserve"> A 27-billion-parameter language model fine-tuned for regulated-vertical deployment, with Q4 quantization for commodity GPU inference ($0.08/1M tokens on T4). Classification under the Morris et al. (2023) AGI taxonomy at L5 Narrow (superhuman in 5 regulated verticals) and L2 General (50th–90th percentile general). The model's training methodology, quantization pipeline, and benchmark evaluation suite constitute proprietary trade secrets and protectable IP.</w:t>
      </w:r>
    </w:p>
    <w:p>
      <w:r/>
      <w:r>
        <w:rPr>
          <w:b/>
        </w:rPr>
        <w:t>USPTO Status:</w:t>
      </w:r>
      <w:r>
        <w:t xml:space="preserve"> Trade secret protection in effect. Model weights are proprietary. Fine-tuning methodology and evaluation framework pending inclusion in patent prosecution.</w:t>
      </w:r>
    </w:p>
    <w:p>
      <w:r/>
      <w:r>
        <w:rPr>
          <w:b/>
        </w:rPr>
        <w:t>Prior Art Evidence:</w:t>
      </w:r>
      <w:r/>
    </w:p>
    <w:p>
      <w:pPr>
        <w:pStyle w:val="ListBullet"/>
      </w:pPr>
      <w:r>
        <w:t>Kaggle reproducible benchmark notebook: publicly timestamped, independently verifiable</w:t>
      </w:r>
    </w:p>
    <w:p>
      <w:pPr>
        <w:pStyle w:val="ListBullet"/>
      </w:pPr>
      <w:r>
        <w:t>OFFICIAL_BENCHMARKS suite: TIER_6_SECURITY_EVAL/K_NANOCHAT/OFFICIAL_BENCHMARKS — run timestamps from 2026-09-30, AIOSS-chained</w:t>
      </w:r>
    </w:p>
    <w:p>
      <w:pPr>
        <w:pStyle w:val="ListBullet"/>
      </w:pPr>
      <w:r>
        <w:t>3-seed simulation methodology: seeds 944, 32281, 66480, SHA256(project_name) deterministic — documented in simulation_3seed.md</w:t>
      </w:r>
    </w:p>
    <w:p>
      <w:pPr>
        <w:pStyle w:val="ListBullet"/>
      </w:pPr>
      <w:r>
        <w:t>ORCID: 0009-0009-2233-6107 — benchmark methodology linked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IP Assignment Chain</w:t>
      </w:r>
    </w:p>
    <w:p>
      <w:r>
        <w:t>Asset | Creator | Assigned To | Date</w:t>
      </w:r>
    </w:p>
    <w:p>
      <w:r>
        <w:t>--- | --- | --- | ---</w:t>
      </w:r>
    </w:p>
    <w:p>
      <w:r>
        <w:t>KANTOR K5 hash construction | Lois-Kleinner Alpasan | Anticloud FZ LLE | 2025–2026</w:t>
      </w:r>
    </w:p>
    <w:p>
      <w:r>
        <w:t>AIOSS ledger format and protocol | Lois-Kleinner Alpasan | Anticloud FZ LLE | 2025–2026</w:t>
      </w:r>
    </w:p>
    <w:p>
      <w:r>
        <w:t>System of Things (SoT) architecture | Lois-Kleinner Alpasan | Anticloud FZ LLE | 2025–2026</w:t>
      </w:r>
    </w:p>
    <w:p>
      <w:r>
        <w:t>PAX L5/L2 27B model + fine-tuning pipeline | Lois-Kleinner Alpasan | Anticloud FZ LLE | 2025–2026</w:t>
      </w:r>
    </w:p>
    <w:p>
      <w:r>
        <w:t>123-project corpus (all tiers) | Lois-Kleinner Alpasan | Anticloud FZ LLE | 2025–2026</w:t>
      </w:r>
    </w:p>
    <w:p>
      <w:r>
        <w:t>Anticommons Enterprise License 1.0 | Lois-Kleinner Alpasan | Anticloud FZ LLE | 2025–2026</w:t>
      </w:r>
    </w:p>
    <w:p>
      <w:r>
        <w:t>All assignments are to Anticloud FZ LLE as the legal entity. No third-party IP is incorporated into any core Anticloud invention. All open-source dependencies are Apache 2.0 or MIT licensed with no copyleft provisions that affect commercial deployment.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 Art Summary</w:t>
      </w:r>
    </w:p>
    <w:p>
      <w:r>
        <w:t>Anticloud's prior art position is strong across all primary inventions. The prior art is:</w:t>
      </w:r>
    </w:p>
    <w:p>
      <w:r>
        <w:t xml:space="preserve">1. </w:t>
      </w:r>
      <w:r>
        <w:rPr>
          <w:b/>
        </w:rPr>
        <w:t>Timestamped independently</w:t>
      </w:r>
      <w:r>
        <w:t xml:space="preserve"> — Harvard Dataverse DOIs are immutable records with independent timestamps assigned by Harvard University Libraries infrastructure</w:t>
      </w:r>
    </w:p>
    <w:p>
      <w:r>
        <w:t xml:space="preserve">2. </w:t>
      </w:r>
      <w:r>
        <w:rPr>
          <w:b/>
        </w:rPr>
        <w:t>Publicly accessible</w:t>
      </w:r>
      <w:r>
        <w:t xml:space="preserve"> — Internet Archive, Zenodo, OSF, Figshare, Dev.to, and ORCID provide independent public access points not controlled by Anticloud</w:t>
      </w:r>
    </w:p>
    <w:p>
      <w:r>
        <w:t xml:space="preserve">3. </w:t>
      </w:r>
      <w:r>
        <w:rPr>
          <w:b/>
        </w:rPr>
        <w:t>Cryptographically chained</w:t>
      </w:r>
      <w:r>
        <w:t xml:space="preserve"> — Every corpus artifact is AIOSS-signed and K5-hashed, providing tamper-evident evidence of when each invention was documented</w:t>
      </w:r>
    </w:p>
    <w:p>
      <w:r>
        <w:t xml:space="preserve">4. </w:t>
      </w:r>
      <w:r>
        <w:rPr>
          <w:b/>
        </w:rPr>
        <w:t>Cross-platform corroborated</w:t>
      </w:r>
      <w:r>
        <w:t xml:space="preserve"> — The same inventions appear across 8+ independent archival platforms, making retroactive manipulation of dates computationally and institutionally infeasible</w:t>
      </w:r>
    </w:p>
    <w:p>
      <w:r/>
      <w:r>
        <w:rPr>
          <w:b/>
        </w:rPr>
        <w:t>The prior art position as of October 2026 is sufficient to support USPTO prosecution and to defend against third-party claims on any of the four primary IP assets.</w:t>
      </w:r>
      <w:r/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 IP Risk Assessment</w:t>
      </w:r>
    </w:p>
    <w:p>
      <w:r>
        <w:t>Risk | Assessment</w:t>
      </w:r>
    </w:p>
    <w:p>
      <w:r>
        <w:t>--- | ---</w:t>
      </w:r>
    </w:p>
    <w:p>
      <w:r>
        <w:t>Base model (27B parameter foundation) | Open-weight base model used under permissive license. Fine-tuning weights are original. No IP risk.</w:t>
      </w:r>
    </w:p>
    <w:p>
      <w:r>
        <w:t>AIOSS chain construction (SHA3-256) | SHA3-256 is a NIST standard. The construction and protocol are novel. No IP risk on underlying primitive.</w:t>
      </w:r>
    </w:p>
    <w:p>
      <w:r>
        <w:t>Apache 2.0 corpus dependencies | All 123 projects audited for license compliance. Apache 2.0 / MIT only. No copyleft. No IP risk.</w:t>
      </w:r>
    </w:p>
    <w:p>
      <w:r>
        <w:t>K5 hash construction primitives | Uses standard cryptographic primitives (SHA3-256, POSIX primitives). Construction is novel. No IP risk on primitives.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Prepared by:</w:t>
      </w:r>
      <w:r>
        <w:t xml:space="preserve"> Anticloud FZ LLE Internal  </w:t>
      </w:r>
    </w:p>
    <w:p>
      <w:r/>
      <w:r>
        <w:rPr>
          <w:b/>
        </w:rPr>
        <w:t>USPTO counsel:</w:t>
      </w:r>
      <w:r>
        <w:t xml:space="preserve"> Engaged, drafting in progress  </w:t>
      </w:r>
    </w:p>
    <w:p>
      <w:r/>
      <w:r>
        <w:rPr>
          <w:b/>
        </w:rPr>
        <w:t>AIOSS chain hash:</w:t>
      </w:r>
      <w:r>
        <w:t xml:space="preserve"> `8b4a8a4f6312dfbe885de8280716985637c163fd2a4b5590341d56db1cc4e560`</w:t>
      </w:r>
    </w:p>
    <w:p/>
    <w:p>
      <w:r>
        <w:rPr>
          <w:color w:val="7A7A77"/>
          <w:sz w:val="16"/>
        </w:rPr>
        <w:t>AIOSS Chain: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