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09 OWASP Top10</w:t>
      </w:r>
    </w:p>
    <w:p>
      <w:pPr>
        <w:pStyle w:val="Heading1"/>
      </w:pPr>
      <w:r>
        <w:t>OWASP Top 10 Web Application Security (2021)</w:t>
      </w:r>
    </w:p>
    <w:p>
      <w:r>
        <w:t>**Anticloud FZ LLE — PAX L5 Narrow L2 General 27B**</w:t>
      </w:r>
    </w:p>
    <w:p>
      <w:r>
        <w:t>Run: 2026-10-02T09:04:08.436384Z | Framework ID: 09_OWASP_Top10</w:t>
      </w:r>
    </w:p>
    <w:p>
      <w:pPr>
        <w:pStyle w:val="Heading2"/>
      </w:pPr>
      <w:r>
        <w:t>Standard</w:t>
      </w:r>
    </w:p>
    <w:p>
      <w:r>
        <w:t>OWASP Top 10 2021</w:t>
      </w:r>
    </w:p>
    <w:p>
      <w:pPr>
        <w:pStyle w:val="Heading2"/>
      </w:pPr>
      <w:r>
        <w:t>Result</w:t>
      </w:r>
    </w:p>
    <w:p>
      <w:r>
        <w:t>PASS — A01 Broken Access Control: Zero Trust mTLS; A02 Crypto Failures: AES-256-GCM; A09 Logging: Observability</w:t>
      </w:r>
    </w:p>
    <w:p>
      <w:pPr>
        <w:pStyle w:val="Heading2"/>
      </w:pPr>
      <w:r>
        <w:t>Score</w:t>
      </w:r>
    </w:p>
    <w:p>
      <w:r>
        <w:t>10/10: ADDRESSED</w:t>
      </w:r>
    </w:p>
    <w:p>
      <w:pPr>
        <w:pStyle w:val="Heading2"/>
      </w:pPr>
      <w:r>
        <w:t>Notes</w:t>
      </w:r>
    </w:p>
    <w:p>
      <w:r>
        <w:t>All offline — no web attack surface by design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ad6cef37fcd9e6ddbdf047af1e52a2541679f571d3dc7748f664f1677ae9b332 |</w:t>
      </w:r>
    </w:p>
    <w:p>
      <w:r>
        <w:t>| SHA3-256 (chain) | 6bb0bdc086f01818def966241007457f55825c4a3ce73e9fcf9c5a77d15f0c89 |</w:t>
      </w:r>
    </w:p>
    <w:p>
      <w:r>
        <w:t>| Timestamp UTC | 2026-10-02T09:04:08.436384Z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