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 COBIT 2019</w:t>
      </w:r>
    </w:p>
    <w:p>
      <w:pPr>
        <w:pStyle w:val="Heading1"/>
      </w:pPr>
      <w:r>
        <w:t>COBIT 2019 (Control Objectives for IT)</w:t>
      </w:r>
    </w:p>
    <w:p>
      <w:r>
        <w:t>**Anticloud FZ LLE — PAX L5 Narrow L2 General 27B**</w:t>
      </w:r>
    </w:p>
    <w:p>
      <w:r>
        <w:t>Run: 2026-10-02T09:07:54.773473Z | Framework ID: 20_COBIT_2019</w:t>
      </w:r>
    </w:p>
    <w:p>
      <w:pPr>
        <w:pStyle w:val="Heading2"/>
      </w:pPr>
      <w:r>
        <w:t>Standard</w:t>
      </w:r>
    </w:p>
    <w:p>
      <w:r>
        <w:t>COBIT 2019 Framework (ISACA)</w:t>
      </w:r>
    </w:p>
    <w:p>
      <w:pPr>
        <w:pStyle w:val="Heading2"/>
      </w:pPr>
      <w:r>
        <w:t>Result</w:t>
      </w:r>
    </w:p>
    <w:p>
      <w:r>
        <w:t>PASS — EDM (Governance), APO (Alignment), BAI (Build), DSS (Deliver), MEA (Monitor)</w:t>
      </w:r>
    </w:p>
    <w:p>
      <w:pPr>
        <w:pStyle w:val="Heading2"/>
      </w:pPr>
      <w:r>
        <w:t>Score</w:t>
      </w:r>
    </w:p>
    <w:p>
      <w:r>
        <w:t>Maturity Level 4 (Quantitatively Managed)</w:t>
      </w:r>
    </w:p>
    <w:p>
      <w:pPr>
        <w:pStyle w:val="Heading2"/>
      </w:pPr>
      <w:r>
        <w:t>Notes</w:t>
      </w:r>
    </w:p>
    <w:p>
      <w:r>
        <w:t>Observability module provides MEA01 monitoring; Provenance chain provides MEA02 assurance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a1ecec5f7dcf165d2117efe9e588889952e14e13d4fa4e51c7a3076f9f8c4884 |</w:t>
      </w:r>
    </w:p>
    <w:p>
      <w:r>
        <w:t>| SHA3-256 (chain) | 689919f5585a673750259a7a81792416af5e4cfe248202a055d341eca990df57 |</w:t>
      </w:r>
    </w:p>
    <w:p>
      <w:r>
        <w:t>| Timestamp UTC | 2026-10-02T09:07:54.773473Z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