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`K_DEERFLOW`</w:t>
      </w:r>
    </w:p>
    <w:p>
      <w:r>
        <w:t>Tier: TIER_4_INFERENCE_AGENTS</w:t>
      </w:r>
    </w:p>
    <w:p>
      <w:r>
        <w:t>Identity: Upstream `bytedance/deer-flow` @ `f75d89f39dd1` (MIT)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`bytedance/deer-flow` |</w:t>
      </w:r>
    </w:p>
    <w:p>
      <w:r>
        <w:t>| Commit | `f75d89f39dd152873bf2b6486052644a77e830fb` |</w:t>
      </w:r>
    </w:p>
    <w:p>
      <w:r>
        <w:t>| Upstream licence | MIT |</w:t>
      </w:r>
    </w:p>
    <w:p>
      <w:r>
        <w:t>| Licence class | permissive |</w:t>
      </w:r>
    </w:p>
    <w:p>
      <w:r>
        <w:t>| Clone size | 58.77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`K_DEERFLOW` is vendored under MIT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