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19 SOX ITGC</w:t>
      </w:r>
    </w:p>
    <w:p>
      <w:pPr>
        <w:pStyle w:val="Heading1"/>
      </w:pPr>
      <w:r>
        <w:t>SOX IT General Controls (Section 404)</w:t>
      </w:r>
    </w:p>
    <w:p>
      <w:r>
        <w:t>**Anticloud FZ LLE — PAX L5 Narrow L2 General 27B**</w:t>
      </w:r>
    </w:p>
    <w:p>
      <w:r>
        <w:t>Run: 2026-10-02T09:08:52.086790Z | Framework ID: 19_SOX_ITGC</w:t>
      </w:r>
    </w:p>
    <w:p>
      <w:pPr>
        <w:pStyle w:val="Heading2"/>
      </w:pPr>
      <w:r>
        <w:t>Standard</w:t>
      </w:r>
    </w:p>
    <w:p>
      <w:r>
        <w:t>Sarbanes-Oxley Act 2002, Section 404, PCAOB AS 2201</w:t>
      </w:r>
    </w:p>
    <w:p>
      <w:pPr>
        <w:pStyle w:val="Heading2"/>
      </w:pPr>
      <w:r>
        <w:t>Result</w:t>
      </w:r>
    </w:p>
    <w:p>
      <w:r>
        <w:t>PASS — Change Management, Access Controls, Computer Operations, Program Development all covered</w:t>
      </w:r>
    </w:p>
    <w:p>
      <w:pPr>
        <w:pStyle w:val="Heading2"/>
      </w:pPr>
      <w:r>
        <w:t>Score</w:t>
      </w:r>
    </w:p>
    <w:p>
      <w:r>
        <w:t>COMPLIANT</w:t>
      </w:r>
    </w:p>
    <w:p>
      <w:pPr>
        <w:pStyle w:val="Heading2"/>
      </w:pPr>
      <w:r>
        <w:t>Notes</w:t>
      </w:r>
    </w:p>
    <w:p>
      <w:r>
        <w:t>AIOSS immutable ledger provides SOX-compliant audit trail; Provenance chain covers change management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3b06e15420064c27f945f6e81fbb0fb628e7d4f4830fe05fde648a7f266ec471 |</w:t>
      </w:r>
    </w:p>
    <w:p>
      <w:r>
        <w:t>| SHA3-256 (chain) | cead8a7af6da0b7c6b26aca1866dca7c7582b5325fe14ad4d392ee62210bb1bf |</w:t>
      </w:r>
    </w:p>
    <w:p>
      <w:r>
        <w:t>| Timestamp UTC | 2026-10-02T09:08:52.086790Z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