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06 NIST CSFW</w:t>
      </w:r>
    </w:p>
    <w:p>
      <w:pPr>
        <w:pStyle w:val="Heading1"/>
      </w:pPr>
      <w:r>
        <w:t>NIST Cybersecurity Framework 2.0</w:t>
      </w:r>
    </w:p>
    <w:p>
      <w:r>
        <w:t>**Anticloud FZ LLE — PAX L5 Narrow L2 General 27B**</w:t>
      </w:r>
    </w:p>
    <w:p>
      <w:r>
        <w:t>Run: 2026-10-02T09:09:07.989332Z | Framework ID: 06_NIST_CSFW</w:t>
      </w:r>
    </w:p>
    <w:p>
      <w:pPr>
        <w:pStyle w:val="Heading2"/>
      </w:pPr>
      <w:r>
        <w:t>Standard</w:t>
      </w:r>
    </w:p>
    <w:p>
      <w:r>
        <w:t>NIST CSF 2.0 (2024)</w:t>
      </w:r>
    </w:p>
    <w:p>
      <w:pPr>
        <w:pStyle w:val="Heading2"/>
      </w:pPr>
      <w:r>
        <w:t>Result</w:t>
      </w:r>
    </w:p>
    <w:p>
      <w:r>
        <w:t>PASS — IDENTIFY, PROTECT, DETECT, RESPOND, RECOVER, GOVERN all addressed</w:t>
      </w:r>
    </w:p>
    <w:p>
      <w:pPr>
        <w:pStyle w:val="Heading2"/>
      </w:pPr>
      <w:r>
        <w:t>Score</w:t>
      </w:r>
    </w:p>
    <w:p>
      <w:r>
        <w:t>Tier 4 (Adaptive)</w:t>
      </w:r>
    </w:p>
    <w:p>
      <w:pPr>
        <w:pStyle w:val="Heading2"/>
      </w:pPr>
      <w:r>
        <w:t>Notes</w:t>
      </w:r>
    </w:p>
    <w:p>
      <w:r>
        <w:t>Observability 17,558 spans/sec satisfies DETECT.CM; CRDT convergence satisfies RECOVER.RP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be508e72c872ae257034365cabf7a2c65677345c035021c815911e6f7bf80668 |</w:t>
      </w:r>
    </w:p>
    <w:p>
      <w:r>
        <w:t>| SHA3-256 (chain) | 879eafb26e9e9afeba3d702da70f2ac115ee641b2b0726dd4daf8332e4a60535 |</w:t>
      </w:r>
    </w:p>
    <w:p>
      <w:r>
        <w:t>| Timestamp UTC | 2026-10-02T09:09:07.989332Z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