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 HIPAA</w:t>
      </w:r>
    </w:p>
    <w:p>
      <w:pPr>
        <w:pStyle w:val="Heading1"/>
      </w:pPr>
      <w:r>
        <w:t>HIPAA Security Rule (45 CFR Part 164)</w:t>
      </w:r>
    </w:p>
    <w:p>
      <w:r>
        <w:t>**Anticloud FZ LLE — PAX L5 Narrow L2 General 27B**</w:t>
      </w:r>
    </w:p>
    <w:p>
      <w:r>
        <w:t>Run: 2026-10-02T09:09:48.102831Z | Framework ID: 10_HIPAA</w:t>
      </w:r>
    </w:p>
    <w:p>
      <w:pPr>
        <w:pStyle w:val="Heading2"/>
      </w:pPr>
      <w:r>
        <w:t>Standard</w:t>
      </w:r>
    </w:p>
    <w:p>
      <w:r>
        <w:t>HIPAA Security Rule, HHS 2013/2024 update</w:t>
      </w:r>
    </w:p>
    <w:p>
      <w:pPr>
        <w:pStyle w:val="Heading2"/>
      </w:pPr>
      <w:r>
        <w:t>Result</w:t>
      </w:r>
    </w:p>
    <w:p>
      <w:r>
        <w:t>PASS — §164.312(a)(1) Access Control, §164.312(e)(2)(ii) Encryption, §164.312(b) Audit Controls</w:t>
      </w:r>
    </w:p>
    <w:p>
      <w:pPr>
        <w:pStyle w:val="Heading2"/>
      </w:pPr>
      <w:r>
        <w:t>Score</w:t>
      </w:r>
    </w:p>
    <w:p>
      <w:r>
        <w:t>COMPLIANT — all 18 required + addressable standards met</w:t>
      </w:r>
    </w:p>
    <w:p>
      <w:pPr>
        <w:pStyle w:val="Heading2"/>
      </w:pPr>
      <w:r>
        <w:t>Notes</w:t>
      </w:r>
    </w:p>
    <w:p>
      <w:r>
        <w:t>AES-256-GCM satisfies §164.312(e)(2)(ii); AIOSS chain satisfies §164.312(b)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b3b877b8ec74e702d6ce466a2a88e7ea5c31db481a4abb56567ad42dd2baee80 |</w:t>
      </w:r>
    </w:p>
    <w:p>
      <w:r>
        <w:t>| SHA3-256 (chain) | cf601cb657bbdaa93f831bc3dd5e1017fe2ea3e167ca2caf689ec2ee7032ca2b |</w:t>
      </w:r>
    </w:p>
    <w:p>
      <w:r>
        <w:t>| Timestamp UTC | 2026-10-02T09:09:48.102831Z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