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02 SOC2 TypeII</w:t>
      </w:r>
    </w:p>
    <w:p>
      <w:pPr>
        <w:pStyle w:val="Heading1"/>
      </w:pPr>
      <w:r>
        <w:t>SOC 2 Type II (AICPA TSC 2017)</w:t>
      </w:r>
    </w:p>
    <w:p>
      <w:r>
        <w:t>**Anticloud FZ LLE — PAX L5 Narrow L2 General 27B**</w:t>
      </w:r>
    </w:p>
    <w:p>
      <w:r>
        <w:t>Run: 2026-10-02T09:09:52.436759Z | Framework ID: 02_SOC2_TypeII</w:t>
      </w:r>
    </w:p>
    <w:p>
      <w:pPr>
        <w:pStyle w:val="Heading2"/>
      </w:pPr>
      <w:r>
        <w:t>Standard</w:t>
      </w:r>
    </w:p>
    <w:p>
      <w:r>
        <w:t>AICPA Trust Services Criteria 2017 + 2023 AI supplement</w:t>
      </w:r>
    </w:p>
    <w:p>
      <w:pPr>
        <w:pStyle w:val="Heading2"/>
      </w:pPr>
      <w:r>
        <w:t>Result</w:t>
      </w:r>
    </w:p>
    <w:p>
      <w:r>
        <w:t>PASS — CC6 (Logical Access), CC7 (System Ops), CC8 (Change Mgmt), A1 (Availability), C1 (Confidentiality)</w:t>
      </w:r>
    </w:p>
    <w:p>
      <w:pPr>
        <w:pStyle w:val="Heading2"/>
      </w:pPr>
      <w:r>
        <w:t>Score</w:t>
      </w:r>
    </w:p>
    <w:p>
      <w:r>
        <w:t>93% criteria met</w:t>
      </w:r>
    </w:p>
    <w:p>
      <w:pPr>
        <w:pStyle w:val="Heading2"/>
      </w:pPr>
      <w:r>
        <w:t>Notes</w:t>
      </w:r>
    </w:p>
    <w:p>
      <w:r>
        <w:t>SovereignMemory AES-256-GCM satisfies CC6.7; Provenance chain satisfies CC7.2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73cad8713f44a4498a4c72cc24375239d0bb655b860a364b047b3e6594b4d15b |</w:t>
      </w:r>
    </w:p>
    <w:p>
      <w:r>
        <w:t>| SHA3-256 (chain) | bb9a4d1ab1cc22ae23bb91700c7d45add363425ee77c909281e0013c75a78de3 |</w:t>
      </w:r>
    </w:p>
    <w:p>
      <w:r>
        <w:t>| Timestamp UTC | 2026-10-02T09:09:52.436759Z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