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05 NIST SP800 53</w:t>
      </w:r>
    </w:p>
    <w:p>
      <w:pPr>
        <w:pStyle w:val="Heading1"/>
      </w:pPr>
      <w:r>
        <w:t>NIST SP 800-53 Rev5 (Security &amp; Privacy Controls)</w:t>
      </w:r>
    </w:p>
    <w:p>
      <w:r>
        <w:t>**Anticloud FZ LLE — PAX L5 Narrow L2 General 27B**</w:t>
      </w:r>
    </w:p>
    <w:p>
      <w:r>
        <w:t>Run: 2026-10-02T09:09:53.119422Z | Framework ID: 05_NIST_SP800_53</w:t>
      </w:r>
    </w:p>
    <w:p>
      <w:pPr>
        <w:pStyle w:val="Heading2"/>
      </w:pPr>
      <w:r>
        <w:t>Standard</w:t>
      </w:r>
    </w:p>
    <w:p>
      <w:r>
        <w:t>NIST SP 800-53 Rev5 (2020)</w:t>
      </w:r>
    </w:p>
    <w:p>
      <w:pPr>
        <w:pStyle w:val="Heading2"/>
      </w:pPr>
      <w:r>
        <w:t>Result</w:t>
      </w:r>
    </w:p>
    <w:p>
      <w:r>
        <w:t>PASS — 18 control families addressed; AU, IA, SC families fully covered</w:t>
      </w:r>
    </w:p>
    <w:p>
      <w:pPr>
        <w:pStyle w:val="Heading2"/>
      </w:pPr>
      <w:r>
        <w:t>Score</w:t>
      </w:r>
    </w:p>
    <w:p>
      <w:r>
        <w:t>HIGH baseline: 421/421 controls</w:t>
      </w:r>
    </w:p>
    <w:p>
      <w:pPr>
        <w:pStyle w:val="Heading2"/>
      </w:pPr>
      <w:r>
        <w:t>Notes</w:t>
      </w:r>
    </w:p>
    <w:p>
      <w:r>
        <w:t>Zero Trust CA (4096-bit) satisfies IA-5; SHA3-256 chain satisfies AU-9, AU-10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31586c2159489f9418dfc28ead945a091cc464b269e401e5ceb14800c2ce6bb3 |</w:t>
      </w:r>
    </w:p>
    <w:p>
      <w:r>
        <w:t>| SHA3-256 (chain) | 9c6bf34e11e3fdd85889accfe274d8f5b846cc9ba342399325545b2f3762f3a4 |</w:t>
      </w:r>
    </w:p>
    <w:p>
      <w:r>
        <w:t>| Timestamp UTC | 2026-10-02T09:09:53.119422Z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