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Go-To-Market Strategy — Anticloud FZ LLE</w:t>
      </w:r>
    </w:p>
    <w:p>
      <w:r>
        <w:rPr>
          <w:color w:val="7A7A77"/>
          <w:sz w:val="18"/>
        </w:rPr>
        <w:t>Anticloud FZ LLE · 0-1.gg · lois@0-1.gg · Dubai, UAE · 2026-10-01T13:21:28Z</w:t>
      </w:r>
    </w:p>
    <w:p/>
    <w:p>
      <w:pPr>
        <w:pStyle w:val="Heading1"/>
      </w:pPr>
      <w:r>
        <w:t>Go-To-Market Strategy — Anticloud FZ LLE</w:t>
      </w:r>
    </w:p>
    <w:p>
      <w:r/>
      <w:r>
        <w:rPr>
          <w:b/>
        </w:rPr>
        <w:t>Maintainer:</w:t>
      </w:r>
      <w:r>
        <w:t xml:space="preserve"> Anticloud FZ LLE · 0-1.gg  </w:t>
      </w:r>
    </w:p>
    <w:p>
      <w:r/>
      <w:r>
        <w:rPr>
          <w:b/>
        </w:rPr>
        <w:t>Contact:</w:t>
      </w:r>
      <w:r>
        <w:t xml:space="preserve"> lois@0-1.gg  </w:t>
      </w:r>
    </w:p>
    <w:p>
      <w:r/>
      <w:r>
        <w:rPr>
          <w:b/>
        </w:rPr>
        <w:t>Date:</w:t>
      </w:r>
      <w:r>
        <w:t xml:space="preserve"> October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Strategic Premise</w:t>
      </w:r>
    </w:p>
    <w:p>
      <w:r>
        <w:t>Anticloud's GTM does not follow the enterprise SaaS playbook of SDR cold-calls, Salesforce pipelines, and $500K trade-show booths. It follows the internet's actual attention economy: content that gets ingested, redistributed, and cited — by humans, by LLMs, and by search engines — before any sales conversation begins. The buyer finds us. The benchmarks are the pitch. The distribution is the moat.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Layer 1 — Viral Content Engine (UGC, Short-Form, Influencer)</w:t>
      </w:r>
    </w:p>
    <w:p>
      <w:pPr>
        <w:pStyle w:val="Heading3"/>
      </w:pPr>
      <w:r>
        <w:t>YouTube Shorts / TikTok / Reels</w:t>
      </w:r>
    </w:p>
    <w:p>
      <w:r>
        <w:t>The founder and team produce short-form content documenting the build in real time: benchmark runs, compliance scores, live deployments, cost comparisons. Format: "I ran this $0.08 inference on a T4 GPU — here's what GPT-4 would have charged." These are not polished brand videos. They are raw, technical, credible, and shareable. Target: 50–200 pieces of indexed short-form content per quarter.</w:t>
      </w:r>
    </w:p>
    <w:p>
      <w:r/>
      <w:r>
        <w:rPr>
          <w:b/>
        </w:rPr>
        <w:t>Why this works for enterprise AI:</w:t>
      </w:r>
      <w:r>
        <w:t xml:space="preserve"> The procurement lead at a regulated hospital system does not buy from a cold email. They buy from the vendor they have seen 14 times on LinkedIn before the RFP drops. Short-form creates the impression of ubiquity at near-zero cost.</w:t>
      </w:r>
    </w:p>
    <w:p>
      <w:pPr>
        <w:pStyle w:val="Heading3"/>
      </w:pPr>
      <w:r>
        <w:t>UGC (User-Generated Content)</w:t>
      </w:r>
    </w:p>
    <w:p>
      <w:r>
        <w:t>Design partner organizations document their own deployments. Researchers who benchmark PAX publish their own findings. The AIOSS chain hash appears in third-party posts because it is independently verifiable — external validation at zero cost. Each piece of external content citing Anticloud's numbers is a trust signal that an ad cannot replicate.</w:t>
      </w:r>
    </w:p>
    <w:p>
      <w:pPr>
        <w:pStyle w:val="Heading3"/>
      </w:pPr>
      <w:r>
        <w:t>Wearable Swag and Physical Imprint</w:t>
      </w:r>
    </w:p>
    <w:p>
      <w:r>
        <w:t>Anticloud merchandise at AI conferences, developer meetups, and university computer science departments creates physical-world impressions. The brand appears at RSA, GITEX Dubai, HIMSS, and Black Hat in the hands of developers and compliance leads — not on a $50K booth, but on the backs and wrists of people in the room. Imprint strategy: logo and chain hash on wearables to create curiosity-driven searches.</w:t>
      </w:r>
    </w:p>
    <w:p>
      <w:pPr>
        <w:pStyle w:val="Heading3"/>
      </w:pPr>
      <w:r>
        <w:t>Influencer and Platform Automation</w:t>
      </w:r>
    </w:p>
    <w:p>
      <w:r>
        <w:t>Targeted micro-influencer partnerships (5K–200K followers) in AI safety, enterprise infrastructure, and developer tooling verticals. Not celebrity endorsements — practitioners who post benchmark comparisons and deploy PAX themselves. Platform automation: scheduled distribution of research updates, compliance scores, and benchmark results to LinkedIn, X, HackerNews, and relevant subreddits via authenticated accounts.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Layer 2 — Memetics and Narrative Ownership</w:t>
      </w:r>
    </w:p>
    <w:p>
      <w:r/>
      <w:r>
        <w:rPr>
          <w:b/>
        </w:rPr>
        <w:t>Memetics is how the internet and the outside world perceive information through imprint and imitation.</w:t>
      </w:r>
      <w:r>
        <w:t xml:space="preserve"> Anticloud's narrative is designed to replicate across contexts without dilution:</w:t>
      </w:r>
    </w:p>
    <w:p>
      <w:pPr>
        <w:pStyle w:val="ListBullet"/>
      </w:pPr>
      <w:r>
        <w:t>**The cost meme:** "$0.08 vs $60" is a number anyone can share and verify.</w:t>
      </w:r>
    </w:p>
    <w:p>
      <w:pPr>
        <w:pStyle w:val="ListBullet"/>
      </w:pPr>
      <w:r>
        <w:t>**The audit chain meme:** "every inference has a cryptographic fingerprint" is a claim no cloud AI can counter.</w:t>
      </w:r>
    </w:p>
    <w:p>
      <w:pPr>
        <w:pStyle w:val="ListBullet"/>
      </w:pPr>
      <w:r>
        <w:t>**The founder story:** 22-year-old, Dubai, sovereign AI — the founder profile is inherently distributable.</w:t>
      </w:r>
    </w:p>
    <w:p>
      <w:pPr>
        <w:pStyle w:val="ListBullet"/>
      </w:pPr>
      <w:r>
        <w:t>**The benchmark meme:** MITRE 100/100, TruthfulQA beating GPT-4 — independently verifiable claims that spread because they are true and surprising.</w:t>
      </w:r>
    </w:p>
    <w:p>
      <w:r>
        <w:t>Narrative ownership means Anticloud's framing — sovereign intelligence, proprioceptive AI, nociception vs. proprioception — becomes the vocabulary the industry uses. Not because of a PR firm, but because the content is correct, citable, and arrives first.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Layer 3 — High-DA Publication and LLM Ingestion Strategy</w:t>
      </w:r>
    </w:p>
    <w:p>
      <w:pPr>
        <w:pStyle w:val="Heading3"/>
      </w:pPr>
      <w:r>
        <w:t>High-Domain-Authority Publishing</w:t>
      </w:r>
    </w:p>
    <w:p>
      <w:r>
        <w:t>Anticloud research and benchmark results are published on sites with Domain Authority ≥ 70: Dev.to (50 articles already live), HackerNews, Medium, Towards Data Science, InfoQ, The Register. Each article contains:</w:t>
      </w:r>
    </w:p>
    <w:p>
      <w:pPr>
        <w:pStyle w:val="ListBullet"/>
      </w:pPr>
      <w:r>
        <w:t>Verified, independently auditable benchmark numbers</w:t>
      </w:r>
    </w:p>
    <w:p>
      <w:pPr>
        <w:pStyle w:val="ListBullet"/>
      </w:pPr>
      <w:r>
        <w:t>Chain hash for AIOSS verification</w:t>
      </w:r>
    </w:p>
    <w:p>
      <w:pPr>
        <w:pStyle w:val="ListBullet"/>
      </w:pPr>
      <w:r>
        <w:t>DOI links to Harvard Dataverse and Zenodo</w:t>
      </w:r>
    </w:p>
    <w:p>
      <w:pPr>
        <w:pStyle w:val="ListBullet"/>
      </w:pPr>
      <w:r>
        <w:t>Usability index markers: structured headers, cited sources, factual density ≥ 85%</w:t>
      </w:r>
    </w:p>
    <w:p>
      <w:r/>
      <w:r>
        <w:rPr>
          <w:b/>
        </w:rPr>
        <w:t>Usability Index:</w:t>
      </w:r>
      <w:r>
        <w:t xml:space="preserve"> Each published article is structured to score highly on LLM ingestion heuristics: factual claims are linked to primary sources, numerical claims include methodology, structured data appears in tables. This ensures that when frontier LLMs are trained or fine-tuned on web data, Anticloud's numbers — correctly attributed — are in the training set. SEO and SERP rankings reinforce discoverability for enterprise buyers searching "air-gap AI compliance" or "HIPAA AI deployment."</w:t>
      </w:r>
    </w:p>
    <w:p>
      <w:pPr>
        <w:pStyle w:val="Heading3"/>
      </w:pPr>
      <w:r>
        <w:t>Academic and Research Repository Presence</w:t>
      </w:r>
    </w:p>
    <w:p>
      <w:r>
        <w:t>ORCID, Harvard Dataverse, Zenodo, Figshare, OSF, Academia.edu, Internet Archive. Every benchmark run generates a citable, DOI-linked artifact. When a procurement officer, investor, or journalist fact-checks a claim, the chain leads back to independently verifiable primary sources — not a press release.</w:t>
      </w:r>
    </w:p>
    <w:p>
      <w:pPr>
        <w:pStyle w:val="Heading3"/>
      </w:pPr>
      <w:r>
        <w:t>Press Syndication</w:t>
      </w:r>
    </w:p>
    <w:p>
      <w:r>
        <w:t>Yahoo Finance and Business Insider syndication via AP wire format (PRESS_RELEASE_WIRE.txt, prepared October 2026). This creates high-DA backlinks, triggers Google News indexing, and establishes a timestamp of existence that supports prior art and IP claims.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Layer 4 — Enterprise Sales Motion (Post-Inbound)</w:t>
      </w:r>
    </w:p>
    <w:p>
      <w:r>
        <w:t>The first 5 paying enterprise customers come from inbound generated by Layers 1–3. The sales motion is:</w:t>
      </w:r>
    </w:p>
    <w:p>
      <w:r>
        <w:t>1. Design partner engagement: 90-day pilot, waived or heavily discounted, in exchange for a publishable case study with real compliance metrics</w:t>
      </w:r>
    </w:p>
    <w:p>
      <w:r>
        <w:t>2. Regulated vertical entry points: healthcare (HIPAA air-gap), finance (PCI-DSS audit chain), government (FedRAMP Moderate on-prem)</w:t>
      </w:r>
    </w:p>
    <w:p>
      <w:r>
        <w:t>3. Champion-led expansion: one technical champion inside a regulated organization, given full deployment support, becomes the internal advocate for enterprise-wide rollout</w:t>
      </w:r>
    </w:p>
    <w:p>
      <w:r>
        <w:t>4. Reference customer flywheel: each design partner case study generates 3–5 inbound inquiries from peer organizations in the same vertical</w:t>
      </w:r>
    </w:p>
    <w:p>
      <w:r/>
      <w:r>
        <w:rPr>
          <w:b/>
        </w:rPr>
        <w:t>First 5 target customer profiles:</w:t>
      </w:r>
      <w:r/>
    </w:p>
    <w:p>
      <w:pPr>
        <w:pStyle w:val="ListBullet"/>
      </w:pPr>
      <w:r>
        <w:t>UAE government ministry or critical infrastructure body (domestic, data residency = mandatory)</w:t>
      </w:r>
    </w:p>
    <w:p>
      <w:pPr>
        <w:pStyle w:val="ListBullet"/>
      </w:pPr>
      <w:r>
        <w:t>Gulf regional hospital network (HIPAA-equivalent local regulation)</w:t>
      </w:r>
    </w:p>
    <w:p>
      <w:pPr>
        <w:pStyle w:val="ListBullet"/>
      </w:pPr>
      <w:r>
        <w:t>Regional bank or fintech operating under UAE CBUAE AI governance guidelines</w:t>
      </w:r>
    </w:p>
    <w:p>
      <w:pPr>
        <w:pStyle w:val="ListBullet"/>
      </w:pPr>
      <w:r>
        <w:t>European enterprise with EU AI Act high-risk system designation</w:t>
      </w:r>
    </w:p>
    <w:p>
      <w:pPr>
        <w:pStyle w:val="ListBullet"/>
      </w:pPr>
      <w:r>
        <w:t>US defense contractor or federal IT integrator (FedRAMP Moderate requirement)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Layer 5 — Sequoia / Non-Dilutive Amplification</w:t>
      </w:r>
    </w:p>
    <w:p>
      <w:r>
        <w:t>The initialization round itself is a GTM event. The press release syndication, the LOI announcement, and the non-dilutive preferred structure create a narrative of institutional legitimacy that accelerates enterprise procurement decisions. Buyers want to know Anticloud will exist in 3 years. An announced institutional round is the fastest signal.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Metrics and Milestones</w:t>
      </w:r>
    </w:p>
    <w:p>
      <w:r>
        <w:t>Milestone | Target Timeline | Metric</w:t>
      </w:r>
    </w:p>
    <w:p>
      <w:r>
        <w:t>--- | --- | ---</w:t>
      </w:r>
    </w:p>
    <w:p>
      <w:r>
        <w:t>Press syndication live | Month 1 | Yahoo Finance + Business Insider pickup</w:t>
      </w:r>
    </w:p>
    <w:p>
      <w:r>
        <w:t>5 design partner LOIs | Month 3 | Signed design partner agreements</w:t>
      </w:r>
    </w:p>
    <w:p>
      <w:r>
        <w:t>First paying customer | Month 6 | $18K–$150K ARR first contract</w:t>
      </w:r>
    </w:p>
    <w:p>
      <w:r>
        <w:t>100K indexed content impressions | Month 6 | Across short-form platforms</w:t>
      </w:r>
    </w:p>
    <w:p>
      <w:r>
        <w:t>5 paying enterprise customers | Month 18 | $500K–$2M ARR</w:t>
      </w:r>
    </w:p>
    <w:p>
      <w:r>
        <w:t>Series A readiness | Month 24 | $3M+ ARR, 3 reference customers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Prepared by:</w:t>
      </w:r>
      <w:r>
        <w:t xml:space="preserve"> Anticloud FZ LLE Internal  </w:t>
      </w:r>
    </w:p>
    <w:p>
      <w:r/>
      <w:r>
        <w:rPr>
          <w:b/>
        </w:rPr>
        <w:t>AIOSS chain hash:</w:t>
      </w:r>
      <w:r>
        <w:t xml:space="preserve"> `8b4a8a4f6312dfbe885de8280716985637c163fd2a4b5590341d56db1cc4e560`</w:t>
      </w:r>
    </w:p>
    <w:p/>
    <w:p>
      <w:r>
        <w:rPr>
          <w:color w:val="7A7A77"/>
          <w:sz w:val="16"/>
        </w:rPr>
        <w:t>AIOSS Chain: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