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 DORA</w:t>
      </w:r>
    </w:p>
    <w:p>
      <w:pPr>
        <w:pStyle w:val="Heading1"/>
      </w:pPr>
      <w:r>
        <w:t>DORA (EU Digital Operational Resilience Act) 2022/2554</w:t>
      </w:r>
    </w:p>
    <w:p>
      <w:r>
        <w:t>**Anticloud FZ LLE — PAX L5 Narrow L2 General 27B**</w:t>
      </w:r>
    </w:p>
    <w:p>
      <w:r>
        <w:t>Run: 2026-10-02T09:11:25.319932Z | Framework ID: 18_DORA</w:t>
      </w:r>
    </w:p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11e0f438bc3381c061d3d029bc3552f3c1b2901509fd611d6501cd620872269b |</w:t>
      </w:r>
    </w:p>
    <w:p>
      <w:r>
        <w:t>| SHA3-256 (chain) | 16a06c56481849e74d318ff89f2743ddb31dc85a4e655c53cd79311cd7b97514 |</w:t>
      </w:r>
    </w:p>
    <w:p>
      <w:r>
        <w:t>| Timestamp UTC | 2026-10-02T09:11:25.319932Z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