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 COBIT 2019</w:t>
      </w:r>
    </w:p>
    <w:p>
      <w:pPr>
        <w:pStyle w:val="Heading1"/>
      </w:pPr>
      <w:r>
        <w:t>COBIT 2019 (Control Objectives for IT)</w:t>
      </w:r>
    </w:p>
    <w:p>
      <w:r>
        <w:t>**Anticloud FZ LLE — PAX L5 Narrow L2 General 27B**</w:t>
      </w:r>
    </w:p>
    <w:p>
      <w:r>
        <w:t>Run: 2026-10-02T09:11:51.108010Z | Framework ID: 20_COBIT_2019</w:t>
      </w:r>
    </w:p>
    <w:p>
      <w:pPr>
        <w:pStyle w:val="Heading2"/>
      </w:pPr>
      <w:r>
        <w:t>Standard</w:t>
      </w:r>
    </w:p>
    <w:p>
      <w:r>
        <w:t>COBIT 2019 Framework (ISACA)</w:t>
      </w:r>
    </w:p>
    <w:p>
      <w:pPr>
        <w:pStyle w:val="Heading2"/>
      </w:pPr>
      <w:r>
        <w:t>Result</w:t>
      </w:r>
    </w:p>
    <w:p>
      <w:r>
        <w:t>PASS — EDM (Governance), APO (Alignment), BAI (Build), DSS (Deliver), MEA (Monitor)</w:t>
      </w:r>
    </w:p>
    <w:p>
      <w:pPr>
        <w:pStyle w:val="Heading2"/>
      </w:pPr>
      <w:r>
        <w:t>Score</w:t>
      </w:r>
    </w:p>
    <w:p>
      <w:r>
        <w:t>Maturity Level 4 (Quantitatively Managed)</w:t>
      </w:r>
    </w:p>
    <w:p>
      <w:pPr>
        <w:pStyle w:val="Heading2"/>
      </w:pPr>
      <w:r>
        <w:t>Notes</w:t>
      </w:r>
    </w:p>
    <w:p>
      <w:r>
        <w:t>Observability module provides MEA01 monitoring; Provenance chain provides MEA02 assurance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a1ecec5f7dcf165d2117efe9e588889952e14e13d4fa4e51c7a3076f9f8c4884 |</w:t>
      </w:r>
    </w:p>
    <w:p>
      <w:r>
        <w:t>| SHA3-256 (chain) | a6ea65ac59f929f91677b0d70adbbb538fed08baf3e35dc277546d7aa4a95f47 |</w:t>
      </w:r>
    </w:p>
    <w:p>
      <w:r>
        <w:t>| Timestamp UTC | 2026-10-02T09:11:51.108010Z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