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Robotwin</w:t>
      </w:r>
    </w:p>
    <w:p>
      <w:r>
        <w:t>Anticloud FZ LLE · 0-1.gg · lois@0-1.gg · October 2026</w:t>
      </w:r>
    </w:p>
    <w:p>
      <w:pPr>
        <w:pStyle w:val="Heading1"/>
      </w:pPr>
      <w:r>
        <w:t>Technical Whitepaper — K_ROBOTWIN</w:t>
      </w:r>
    </w:p>
    <w:p>
      <w:r>
        <w:t>**Project:** `K_ROBOTWIN`</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`K_ROBOTWIN`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`K_ROBOTWIN` addresses this contradiction as a component of the Anticloud sovereign AI stack.</w:t>
      </w:r>
    </w:p>
    <w:p>
      <w:pPr>
        <w:pStyle w:val="Heading2"/>
      </w:pPr>
      <w:r>
        <w:t>2. Architecture</w:t>
      </w:r>
    </w:p>
    <w:p>
      <w:r>
        <w:t>`K_ROBOTWIN`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`K_ROBOTWIN`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`K_ROBOTWIN`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`K_ROBOTWIN`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