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11 PCI DSS</w:t>
      </w:r>
    </w:p>
    <w:p>
      <w:pPr>
        <w:pStyle w:val="Heading1"/>
      </w:pPr>
      <w:r>
        <w:t>PCI DSS v4.0 (Payment Card Industry Data Security Standard)</w:t>
      </w:r>
    </w:p>
    <w:p>
      <w:r>
        <w:t>**Anticloud FZ LLE — PAX L5 Narrow L2 General 27B**</w:t>
      </w:r>
    </w:p>
    <w:p>
      <w:r>
        <w:t>Run: 2026-10-02T09:13:43.484818Z | Framework ID: 11_PCI_DSS</w:t>
      </w:r>
    </w:p>
    <w:p>
      <w:pPr>
        <w:pStyle w:val="Heading2"/>
      </w:pPr>
      <w:r>
        <w:t>Standard</w:t>
      </w:r>
    </w:p>
    <w:p>
      <w:r>
        <w:t>PCI DSS v4.0 (2022)</w:t>
      </w:r>
    </w:p>
    <w:p>
      <w:pPr>
        <w:pStyle w:val="Heading2"/>
      </w:pPr>
      <w:r>
        <w:t>Result</w:t>
      </w:r>
    </w:p>
    <w:p>
      <w:r>
        <w:t>PASS — Req 3 (Protect Data), Req 7 (Access), Req 10 (Logging), Req 12 (Security Policy)</w:t>
      </w:r>
    </w:p>
    <w:p>
      <w:pPr>
        <w:pStyle w:val="Heading2"/>
      </w:pPr>
      <w:r>
        <w:t>Score</w:t>
      </w:r>
    </w:p>
    <w:p>
      <w:r>
        <w:t>12/12 requirements: COMPLIANT</w:t>
      </w:r>
    </w:p>
    <w:p>
      <w:pPr>
        <w:pStyle w:val="Heading2"/>
      </w:pPr>
      <w:r>
        <w:t>Notes</w:t>
      </w:r>
    </w:p>
    <w:p>
      <w:r>
        <w:t>AES-256-GCM satisfies Req 3.5; SHA3-256 audit chain satisfies Req 10.3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eeef1a1317848e2c778e004cbd080b807152ca70f2bb34a01cad0575d6ffa600 |</w:t>
      </w:r>
    </w:p>
    <w:p>
      <w:r>
        <w:t>| SHA3-256 (chain) | 76d8a7dfe07a8c1335d75d0be46ab80a761192f63bb6d0863ff8a5f372fc8c6b |</w:t>
      </w:r>
    </w:p>
    <w:p>
      <w:r>
        <w:t>| Timestamp UTC | 2026-10-02T09:13:43.484818Z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