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`K_SAFERLHF`</w:t>
      </w:r>
    </w:p>
    <w:p>
      <w:r>
        <w:t>Tier: TIER_5_WORLD_NEURO_EMBODIED</w:t>
      </w:r>
    </w:p>
    <w:p>
      <w:r>
        <w:t>Identity: Upstream `PKU-Alignment/safe-rlhf` @ `e8cca16665ef` (Apache-2.0)</w:t>
      </w:r>
    </w:p>
    <w:p/>
    <w:p>
      <w:pPr>
        <w:pStyle w:val="Heading2"/>
      </w:pPr>
      <w:r>
        <w:t>Recorded identity</w:t>
      </w:r>
    </w:p>
    <w:p/>
    <w:p>
      <w:r>
        <w:t>| Fact | Value |</w:t>
      </w:r>
    </w:p>
    <w:p>
      <w:r>
        <w:t>| --- | --- |</w:t>
      </w:r>
    </w:p>
    <w:p>
      <w:r>
        <w:t>| Upstream | `PKU-Alignment/safe-rlhf` |</w:t>
      </w:r>
    </w:p>
    <w:p>
      <w:r>
        <w:t>| Commit | `e8cca16665ef2340ac92c6514f05519310251581` |</w:t>
      </w:r>
    </w:p>
    <w:p>
      <w:r>
        <w:t>| Upstream licence | Apache-2.0 |</w:t>
      </w:r>
    </w:p>
    <w:p>
      <w:r>
        <w:t>| Licence class | permissive |</w:t>
      </w:r>
    </w:p>
    <w:p>
      <w:r>
        <w:t>| Clone size | 5.48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Obligation</w:t>
      </w:r>
    </w:p>
    <w:p/>
    <w:p>
      <w:r>
        <w:t>`K_SAFERLHF` is vendored under Apache-2.0 (permissive). Any Anticloud edit to</w:t>
      </w:r>
    </w:p>
    <w:p>
      <w:r>
        <w:t>the vendored tree is a derivative work and is tracked in</w:t>
      </w:r>
    </w:p>
    <w:p>
      <w:r>
        <w:t>`anticloud-edits.json`; the notice of changes is at the project `NOTICE.md`.</w:t>
      </w:r>
    </w:p>
    <w:p>
      <w:r>
        <w:t>Where the licence class is `unknown`, no edit may be applied until the</w:t>
      </w:r>
    </w:p>
    <w:p>
      <w:r>
        <w:t>licence is identified, because the absence of a licence is not a grant.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