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Extension Guide — L_BLACKBIRD</w:t>
      </w:r>
    </w:p>
    <w:p/>
    <w:p>
      <w:r>
        <w:t>Company: Anticloud FZ LLE</w:t>
      </w:r>
    </w:p>
    <w:p/>
    <w:p>
      <w:pPr>
        <w:pStyle w:val="Heading2"/>
      </w:pPr>
      <w:r>
        <w:t>Adding New Features</w:t>
      </w:r>
    </w:p>
    <w:p/>
    <w:p>
      <w:r>
        <w:t>1. Fork the upstream codebase</w:t>
      </w:r>
    </w:p>
    <w:p>
      <w:r>
        <w:t>2. Add integration hooks in `anticloud/` module</w:t>
      </w:r>
    </w:p>
    <w:p>
      <w:r>
        <w:t>3. Ensure PAX inference path is tested offline</w:t>
      </w:r>
    </w:p>
    <w:p>
      <w:r>
        <w:t>4. Add AIOSS audit entries for all mutations</w:t>
      </w:r>
    </w:p>
    <w:p>
      <w:r>
        <w:t>5. Submit PR with AIOSS proof-of-integrity</w:t>
      </w:r>
    </w:p>
    <w:p/>
    <w:p>
      <w:pPr>
        <w:pStyle w:val="Heading2"/>
      </w:pPr>
      <w:r>
        <w:t>API Extension</w:t>
      </w:r>
    </w:p>
    <w:p/>
    <w:p>
      <w:r>
        <w:t>All public APIs wrapped with AIOSS decorators.</w:t>
      </w:r>
    </w:p>
    <w:p>
      <w:r>
        <w:t>New endpoints must declare `@aioss_audit` to be accepted.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