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19 SOX ITGC</w:t>
      </w:r>
    </w:p>
    <w:p>
      <w:pPr>
        <w:pStyle w:val="Heading1"/>
      </w:pPr>
      <w:r>
        <w:t>SOX IT General Controls (Section 404)</w:t>
      </w:r>
    </w:p>
    <w:p>
      <w:r>
        <w:t>**Anticloud FZ LLE — PAX L5 Narrow L2 General 27B**</w:t>
      </w:r>
    </w:p>
    <w:p>
      <w:r>
        <w:t>Run: 2026-10-02T09:14:38.595963Z | Framework ID: 19_SOX_ITGC</w:t>
      </w:r>
    </w:p>
    <w:p>
      <w:pPr>
        <w:pStyle w:val="Heading2"/>
      </w:pPr>
      <w:r>
        <w:t>Standard</w:t>
      </w:r>
    </w:p>
    <w:p>
      <w:r>
        <w:t>Sarbanes-Oxley Act 2002, Section 404, PCAOB AS 2201</w:t>
      </w:r>
    </w:p>
    <w:p>
      <w:pPr>
        <w:pStyle w:val="Heading2"/>
      </w:pPr>
      <w:r>
        <w:t>Result</w:t>
      </w:r>
    </w:p>
    <w:p>
      <w:r>
        <w:t>PASS — Change Management, Access Controls, Computer Operations, Program Development all covered</w:t>
      </w:r>
    </w:p>
    <w:p>
      <w:pPr>
        <w:pStyle w:val="Heading2"/>
      </w:pPr>
      <w:r>
        <w:t>Score</w:t>
      </w:r>
    </w:p>
    <w:p>
      <w:r>
        <w:t>COMPLIANT</w:t>
      </w:r>
    </w:p>
    <w:p>
      <w:pPr>
        <w:pStyle w:val="Heading2"/>
      </w:pPr>
      <w:r>
        <w:t>Notes</w:t>
      </w:r>
    </w:p>
    <w:p>
      <w:r>
        <w:t>AIOSS immutable ledger provides SOX-compliant audit trail; Provenance chain covers change management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3b06e15420064c27f945f6e81fbb0fb628e7d4f4830fe05fde648a7f266ec471 |</w:t>
      </w:r>
    </w:p>
    <w:p>
      <w:r>
        <w:t>| SHA3-256 (chain) | 227faf20a294366dccf100db7fc45bc505b1f8fa4a86599ae9fdb09d70096e0d |</w:t>
      </w:r>
    </w:p>
    <w:p>
      <w:r>
        <w:t>| Timestamp UTC | 2026-10-02T09:14:38.595963Z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