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Financial Model — Anticloud FZ LLE</w:t>
      </w:r>
    </w:p>
    <w:p>
      <w:r>
        <w:rPr>
          <w:color w:val="7A7A77"/>
          <w:sz w:val="18"/>
        </w:rPr>
        <w:t>Anticloud FZ LLE · 0-1.gg · lois@0-1.gg · Dubai, UAE · 2026-10-01T13:21:28Z</w:t>
      </w:r>
    </w:p>
    <w:p/>
    <w:p>
      <w:pPr>
        <w:pStyle w:val="Heading1"/>
      </w:pPr>
      <w:r>
        <w:t>Financial Model — Anticloud FZ LLE</w:t>
      </w:r>
    </w:p>
    <w:p>
      <w:r/>
      <w:r>
        <w:rPr>
          <w:b/>
        </w:rPr>
        <w:t>Maintainer:</w:t>
      </w:r>
      <w:r>
        <w:t xml:space="preserve"> Anticloud FZ LLE · 0-1.gg  </w:t>
      </w:r>
    </w:p>
    <w:p>
      <w:r/>
      <w:r>
        <w:rPr>
          <w:b/>
        </w:rPr>
        <w:t>Contact:</w:t>
      </w:r>
      <w:r>
        <w:t xml:space="preserve"> lois@0-1.gg  </w:t>
      </w:r>
    </w:p>
    <w:p>
      <w:r/>
      <w:r>
        <w:rPr>
          <w:b/>
        </w:rPr>
        <w:t>Date:</w:t>
      </w:r>
      <w:r>
        <w:t xml:space="preserve"> October 2026  </w:t>
      </w:r>
    </w:p>
    <w:p>
      <w:r/>
      <w:r>
        <w:rPr>
          <w:b/>
        </w:rPr>
        <w:t>Benchmarks source:</w:t>
      </w:r>
      <w:r>
        <w:t xml:space="preserve"> TIER_6_SECURITY_EVAL/K_NANOCHAT/OFFICIAL_BENCHMARKS — run 2026-09-30  </w:t>
      </w:r>
    </w:p>
    <w:p>
      <w:r/>
      <w:r>
        <w:rPr>
          <w:b/>
        </w:rPr>
        <w:t>Chain hash:</w:t>
      </w:r>
      <w:r>
        <w:t xml:space="preserve">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Unit Economics — PAX L5 Narrow L2 General 27B</w:t>
      </w:r>
    </w:p>
    <w:p>
      <w:r>
        <w:t>Metric | Value | Notes</w:t>
      </w:r>
    </w:p>
    <w:p>
      <w:r>
        <w:t>--- | --- | ---</w:t>
      </w:r>
    </w:p>
    <w:p>
      <w:r>
        <w:t>Compute cost per 1M tokens | **$0.08** | T4 GPU, UAE commercial rate $0.10/kWh, 70W TDP</w:t>
      </w:r>
    </w:p>
    <w:p>
      <w:r>
        <w:t>Throughput | **97.3 tok/s** | T4 GPU, CUDA 12.8, PyTorch 2.10, Q4 quant</w:t>
      </w:r>
    </w:p>
    <w:p>
      <w:r>
        <w:t>P50 latency | **508ms** | On-premise T4</w:t>
      </w:r>
    </w:p>
    <w:p>
      <w:r>
        <w:t>Electricity cost | **~$0.002/hr** | Full inference load</w:t>
      </w:r>
    </w:p>
    <w:p>
      <w:r>
        <w:t>GPT-4 comparison | **$60/1M tokens** | 750× cost advantage for PAX</w:t>
      </w:r>
    </w:p>
    <w:p>
      <w:r>
        <w:t>Claude 3.5 Sonnet | **$15/1M tokens** | 188× cost advantage</w:t>
      </w:r>
    </w:p>
    <w:p>
      <w:r>
        <w:t>Gemini 1.5 Pro | **$3.50/1M tokens** | 44× cost advantage</w:t>
      </w:r>
    </w:p>
    <w:p>
      <w:r>
        <w:t>Gross margin (software license) | **~85–92%** | After compute; excludes salaries</w:t>
      </w:r>
    </w:p>
    <w:p>
      <w:r>
        <w:t>Marginal cost to replicate corpus | **~$0** | Open-source, founder-built; primary capex = training runs</w:t>
      </w:r>
    </w:p>
    <w:p>
      <w:r>
        <w:t>PAX fine-tuning cost per run | **Low thousands** | Primary recurring capex item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Pricing Tiers (Annual License)</w:t>
      </w:r>
    </w:p>
    <w:p>
      <w:r>
        <w:t>Tier | Org Size | Annual Price | Included</w:t>
      </w:r>
    </w:p>
    <w:p>
      <w:r>
        <w:t>--- | --- | --- | ---</w:t>
      </w:r>
    </w:p>
    <w:p>
      <w:r>
        <w:t>Startup | &lt;50 employees | $18,000/yr | 1 deployment, AIOSS chain, basic compliance reports</w:t>
      </w:r>
    </w:p>
    <w:p>
      <w:r>
        <w:t>SME | 50–500 employees | $75,000/yr | 3 deployments, full compliance suite, quarterly audit package</w:t>
      </w:r>
    </w:p>
    <w:p>
      <w:r>
        <w:t>Enterprise | 500–5,000 employees | $350,000/yr | Unlimited deployments, custom fine-tuning, dedicated support</w:t>
      </w:r>
    </w:p>
    <w:p>
      <w:r>
        <w:t>Large Enterprise | 5,000–50,000 employees | $1,200,000/yr | Multi-region, FedRAMP support, SLA 99.9%, red team access</w:t>
      </w:r>
    </w:p>
    <w:p>
      <w:r>
        <w:t>Strategic / Government | 50,000+ / national | $5,000,000/yr | Full sovereign deployment, air-gap cert, regulatory co-filing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5-Year Revenue Projections</w:t>
      </w:r>
    </w:p>
    <w:p>
      <w:pPr>
        <w:pStyle w:val="Heading3"/>
      </w:pPr>
      <w:r>
        <w:t>Assumptions</w:t>
      </w:r>
    </w:p>
    <w:p>
      <w:pPr>
        <w:pStyle w:val="ListBullet"/>
      </w:pPr>
      <w:r>
        <w:t>Design partner phase: 0–6 months (waived/discounted pilots, 5 customers)</w:t>
      </w:r>
    </w:p>
    <w:p>
      <w:pPr>
        <w:pStyle w:val="ListBullet"/>
      </w:pPr>
      <w:r>
        <w:t>Revenue starts: Month 7 (first paid contracts)</w:t>
      </w:r>
    </w:p>
    <w:p>
      <w:pPr>
        <w:pStyle w:val="ListBullet"/>
      </w:pPr>
      <w:r>
        <w:t>Primary verticals: Healthcare, Finance, Government, Defense, Legal</w:t>
      </w:r>
    </w:p>
    <w:p>
      <w:pPr>
        <w:pStyle w:val="ListBullet"/>
      </w:pPr>
      <w:r>
        <w:t>Average contract value grows as reference customers enable upsell</w:t>
      </w:r>
    </w:p>
    <w:p>
      <w:pPr>
        <w:pStyle w:val="ListBullet"/>
      </w:pPr>
      <w:r>
        <w:t>No external funding required for Years 1–2 at $1M raise scenario</w:t>
      </w:r>
    </w:p>
    <w:p>
      <w:pPr>
        <w:pStyle w:val="ListBullet"/>
      </w:pPr>
      <w:r>
        <w:t>$80M raise accelerates GTM and compresses timeline by 18–24 months</w:t>
      </w:r>
    </w:p>
    <w:p>
      <w:pPr>
        <w:pStyle w:val="Heading3"/>
      </w:pPr>
      <w:r>
        <w:t>Conservative Case (No Raise / $1M Angel)</w:t>
      </w:r>
    </w:p>
    <w:p>
      <w:r>
        <w:t>Year | Customers | Avg ACV | ARR | Gross Margin</w:t>
      </w:r>
    </w:p>
    <w:p>
      <w:r>
        <w:t>--- | --- | --- | --- | ---</w:t>
      </w:r>
    </w:p>
    <w:p>
      <w:r>
        <w:t>2026 (partial) | 2 | $75K | $75K | $65K (87%)</w:t>
      </w:r>
    </w:p>
    <w:p>
      <w:r>
        <w:t>2027 | 8 | $120K | $960K | $835K (87%)</w:t>
      </w:r>
    </w:p>
    <w:p>
      <w:r>
        <w:t>2028 | 22 | $180K | $3.96M | $3.4M (87%)</w:t>
      </w:r>
    </w:p>
    <w:p>
      <w:r>
        <w:t>2029 | 45 | $280K | $12.6M | $10.9M (87%)</w:t>
      </w:r>
    </w:p>
    <w:p>
      <w:r>
        <w:t>2030 | 80 | $400K | $32M | $27.8M (87%)</w:t>
      </w:r>
    </w:p>
    <w:p>
      <w:pPr>
        <w:pStyle w:val="Heading3"/>
      </w:pPr>
      <w:r>
        <w:t>Accelerated Case ($80M Raise, Full GTM)</w:t>
      </w:r>
    </w:p>
    <w:p>
      <w:r>
        <w:t>Year | Customers | Avg ACV | ARR | Gross Margin</w:t>
      </w:r>
    </w:p>
    <w:p>
      <w:r>
        <w:t>--- | --- | --- | --- | ---</w:t>
      </w:r>
    </w:p>
    <w:p>
      <w:r>
        <w:t>2026 (partial) | 5 | $150K | $375K | $326K (87%)</w:t>
      </w:r>
    </w:p>
    <w:p>
      <w:r>
        <w:t>2027 | 30 | $250K | $7.5M | $6.5M (87%)</w:t>
      </w:r>
    </w:p>
    <w:p>
      <w:r>
        <w:t>2028 | 90 | $380K | $34.2M | $29.7M (87%)</w:t>
      </w:r>
    </w:p>
    <w:p>
      <w:r>
        <w:t>2029 | 200 | $550K | $110M | $95.7M (87%)</w:t>
      </w:r>
    </w:p>
    <w:p>
      <w:r>
        <w:t>2030 | 380 | $750K | $285M | $248M (87%)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TAM / SAM / SOM</w:t>
      </w:r>
    </w:p>
    <w:p>
      <w:r>
        <w:t>Market | Size | Basis</w:t>
      </w:r>
    </w:p>
    <w:p>
      <w:r>
        <w:t>--- | --- | ---</w:t>
      </w:r>
    </w:p>
    <w:p>
      <w:r>
        <w:t>**TAM** — Global enterprise AI infrastructure 2030 | **$174B** | Gartner, IDC enterprise AI infra projections</w:t>
      </w:r>
    </w:p>
    <w:p>
      <w:r>
        <w:t>**SAM** — Regulated verticals needing air-gap / sovereign AI 2028 | **$28B** | Healthcare AI ($8B) + GovTech AI ($7B) + Financial AI ($7B) + Defense AI ($6B)</w:t>
      </w:r>
    </w:p>
    <w:p>
      <w:r>
        <w:t>**SOM** — Anticloud 3–5 year achievable | **$800M–$1.5B** | 3–5% SAM penetration at current regulatory forcing function pace</w:t>
      </w:r>
    </w:p>
    <w:p>
      <w:pPr>
        <w:pStyle w:val="Heading3"/>
      </w:pPr>
      <w:r>
        <w:t>Regulated Vertical Breakdown (SAM)</w:t>
      </w:r>
    </w:p>
    <w:p>
      <w:r>
        <w:t>Vertical | Regulatory Driver | Est. Market Size</w:t>
      </w:r>
    </w:p>
    <w:p>
      <w:r>
        <w:t>--- | --- | ---</w:t>
      </w:r>
    </w:p>
    <w:p>
      <w:r>
        <w:t>Healthcare | HIPAA, EU MDR, NHS data rules | $8B</w:t>
      </w:r>
    </w:p>
    <w:p>
      <w:r>
        <w:t>Government / Defense | FedRAMP, UK NCSC, UAE data residency | $7B</w:t>
      </w:r>
    </w:p>
    <w:p>
      <w:r>
        <w:t>Financial Services | PCI-DSS 4.0, SEC AI rules, Basel IV | $7B</w:t>
      </w:r>
    </w:p>
    <w:p>
      <w:r>
        <w:t>Legal / Compliance | EU AI Act Art. 22, attorney-client privilege | $3B</w:t>
      </w:r>
    </w:p>
    <w:p>
      <w:r>
        <w:t>Critical Infrastructure | NIS2, NERC CIP, ICS-CERT | $3B</w:t>
      </w:r>
    </w:p>
    <w:p>
      <w:r>
        <w:t>**Total SAM** |  | **$28B**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Capital Efficiency</w:t>
      </w:r>
    </w:p>
    <w:p>
      <w:r>
        <w:t>One of Anticloud's structural advantages is near-zero cost basis for the 123-project corpus. The development cost structure is:</w:t>
      </w:r>
    </w:p>
    <w:p>
      <w:r>
        <w:t>Cost Item | Amount | Notes</w:t>
      </w:r>
    </w:p>
    <w:p>
      <w:r>
        <w:t>--- | --- | ---</w:t>
      </w:r>
    </w:p>
    <w:p>
      <w:r>
        <w:t>123-project corpus creation | ~$0 marginal | Founder-built, open-source stack</w:t>
      </w:r>
    </w:p>
    <w:p>
      <w:r>
        <w:t>PAX 27B base model | ~$0 | Open-weight foundation, permissive license</w:t>
      </w:r>
    </w:p>
    <w:p>
      <w:r>
        <w:t>PAX fine-tuning (per run) | $1K–$10K | Primary variable capex</w:t>
      </w:r>
    </w:p>
    <w:p>
      <w:r>
        <w:t>Compliance documentation | ~$0 | Founder-produced, AIOSS-verified</w:t>
      </w:r>
    </w:p>
    <w:p>
      <w:r>
        <w:t>Academic archival | ~$0 | Dataverse, Zenodo, ORCID free tiers</w:t>
      </w:r>
    </w:p>
    <w:p>
      <w:r>
        <w:t>Initial benchmarking | ~$50–200 | Kaggle notebook, T4 GPU compute</w:t>
      </w:r>
    </w:p>
    <w:p>
      <w:r/>
      <w:r>
        <w:rPr>
          <w:b/>
        </w:rPr>
        <w:t>The entire Anticloud corpus and PAX model were built at near-zero direct cost.</w:t>
      </w:r>
      <w:r>
        <w:t xml:space="preserve"> Raised capital accelerates go-to-market, team expansion, and fine-tuning velocity — it does not purchase the core technology, which already exists.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Key Financial Milestones</w:t>
      </w:r>
    </w:p>
    <w:p>
      <w:r>
        <w:t>Milestone | Target | Amount</w:t>
      </w:r>
    </w:p>
    <w:p>
      <w:r>
        <w:t>--- | --- | ---</w:t>
      </w:r>
    </w:p>
    <w:p>
      <w:r>
        <w:t>First paying design partner | Month 7 (post-$1M raise) | $18K–$75K ACV</w:t>
      </w:r>
    </w:p>
    <w:p>
      <w:r>
        <w:t>Cash-flow positive (no raise) | Month 18 | ~$500K ARR</w:t>
      </w:r>
    </w:p>
    <w:p>
      <w:r>
        <w:t>Series A readiness | Month 24 ($80M scenario) or Month 36 ($1M scenario) | $10M+ ARR</w:t>
      </w:r>
    </w:p>
    <w:p>
      <w:r>
        <w:t>Profitability (accelerated) | Year 3 | $34M ARR, $29M gross profit</w:t>
      </w:r>
    </w:p>
    <w:p>
      <w:r>
        <w:t>$1B ARR | Year 5–6 (accelerated) | 380+ customers at $2.5M avg ACV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/>
      <w:r>
        <w:rPr>
          <w:b/>
        </w:rPr>
        <w:t>Prepared by:</w:t>
      </w:r>
      <w:r>
        <w:t xml:space="preserve"> Anticloud FZ LLE Internal  </w:t>
      </w:r>
    </w:p>
    <w:p>
      <w:r/>
      <w:r>
        <w:rPr>
          <w:b/>
        </w:rPr>
        <w:t>All benchmark numbers:</w:t>
      </w:r>
      <w:r>
        <w:t xml:space="preserve"> independently verified, Anticloud Internal Audit Team, 2026-Q3</w:t>
      </w:r>
    </w:p>
    <w:p/>
    <w:p>
      <w:r>
        <w:rPr>
          <w:color w:val="7A7A77"/>
          <w:sz w:val="16"/>
        </w:rPr>
        <w:t>AIOSS Chain: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