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19 SOX ITGC</w:t>
      </w:r>
    </w:p>
    <w:p>
      <w:pPr>
        <w:pStyle w:val="Heading1"/>
      </w:pPr>
      <w:r>
        <w:t>SOX IT General Controls (Section 404)</w:t>
      </w:r>
    </w:p>
    <w:p>
      <w:r>
        <w:t>**Anticloud FZ LLE — PAX L5 Narrow L2 General 27B**</w:t>
      </w:r>
    </w:p>
    <w:p>
      <w:r>
        <w:t>Run: 2026-10-02T11:22:11.625024Z | Framework ID: 19_SOX_ITGC</w:t>
      </w:r>
    </w:p>
    <w:p>
      <w:pPr>
        <w:pStyle w:val="Heading2"/>
      </w:pPr>
      <w:r>
        <w:t>Standard</w:t>
      </w:r>
    </w:p>
    <w:p>
      <w:r>
        <w:t>Sarbanes-Oxley Act 2002, Section 404, PCAOB AS 2201</w:t>
      </w:r>
    </w:p>
    <w:p>
      <w:pPr>
        <w:pStyle w:val="Heading2"/>
      </w:pPr>
      <w:r>
        <w:t>Result</w:t>
      </w:r>
    </w:p>
    <w:p>
      <w:r>
        <w:t>PASS — Change Management, Access Controls, Computer Operations, Program Development all covered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AIOSS immutable ledger provides SOX-compliant audit trail; Provenance chain covers change management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3b06e15420064c27f945f6e81fbb0fb628e7d4f4830fe05fde648a7f266ec471 |</w:t>
      </w:r>
    </w:p>
    <w:p>
      <w:r>
        <w:t>| SHA3-256 (chain) | 4f8d35a56ae04018697461b4e3b9f219fdfb72c284cc9674acd88c8bc7e69c27 |</w:t>
      </w:r>
    </w:p>
    <w:p>
      <w:r>
        <w:t>| Timestamp UTC | 2026-10-02T11:22:11.625024Z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