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001DC" w14:textId="52BB314E" w:rsidR="22428E0F" w:rsidRDefault="22428E0F" w:rsidP="6E6FC234">
      <w:pPr>
        <w:shd w:val="clear" w:color="auto" w:fill="FFFFFF" w:themeFill="background1"/>
        <w:spacing w:before="240" w:after="0"/>
        <w:jc w:val="center"/>
        <w:rPr>
          <w:rFonts w:ascii="system-ui" w:eastAsia="system-ui" w:hAnsi="system-ui" w:cs="system-ui"/>
          <w:color w:val="0D0D0D" w:themeColor="text1" w:themeTint="F2"/>
          <w:sz w:val="36"/>
          <w:szCs w:val="36"/>
        </w:rPr>
      </w:pPr>
      <w:r w:rsidRPr="6E6FC234">
        <w:rPr>
          <w:rFonts w:ascii="system-ui" w:eastAsia="system-ui" w:hAnsi="system-ui" w:cs="system-ui"/>
          <w:color w:val="0D0D0D" w:themeColor="text1" w:themeTint="F2"/>
          <w:sz w:val="32"/>
          <w:szCs w:val="32"/>
        </w:rPr>
        <w:t>Unbottling the Bottling Industry with Varun Beverages Limited</w:t>
      </w:r>
    </w:p>
    <w:p w14:paraId="1A72648B" w14:textId="64BA192A" w:rsidR="36646B15" w:rsidRDefault="36646B15" w:rsidP="6E6FC234">
      <w:pPr>
        <w:shd w:val="clear" w:color="auto" w:fill="FFFFFF" w:themeFill="background1"/>
        <w:spacing w:before="240" w:after="0"/>
        <w:jc w:val="center"/>
        <w:rPr>
          <w:rFonts w:ascii="system-ui" w:eastAsia="system-ui" w:hAnsi="system-ui" w:cs="system-ui"/>
          <w:sz w:val="40"/>
          <w:szCs w:val="40"/>
        </w:rPr>
      </w:pPr>
      <w:r w:rsidRPr="6E6FC234">
        <w:rPr>
          <w:rFonts w:ascii="Arial" w:eastAsia="Arial" w:hAnsi="Arial" w:cs="Arial"/>
          <w:color w:val="000000" w:themeColor="text1"/>
          <w:sz w:val="28"/>
          <w:szCs w:val="28"/>
        </w:rPr>
        <w:t>Arsh Jain     Aryan Chaturvedi    Aditya Khandelwal</w:t>
      </w:r>
    </w:p>
    <w:p w14:paraId="4C77C8F4" w14:textId="1625FE32" w:rsidR="22428E0F" w:rsidRDefault="22428E0F" w:rsidP="6E6FC234">
      <w:pPr>
        <w:shd w:val="clear" w:color="auto" w:fill="FFFFFF" w:themeFill="background1"/>
        <w:spacing w:before="240" w:after="0"/>
        <w:jc w:val="center"/>
        <w:rPr>
          <w:rFonts w:ascii="system-ui" w:eastAsia="system-ui" w:hAnsi="system-ui" w:cs="system-ui"/>
          <w:color w:val="0D0D0D" w:themeColor="text1" w:themeTint="F2"/>
        </w:rPr>
      </w:pPr>
      <w:r w:rsidRPr="6E6FC234">
        <w:rPr>
          <w:rFonts w:ascii="system-ui" w:eastAsia="system-ui" w:hAnsi="system-ui" w:cs="system-ui"/>
          <w:color w:val="0D0D0D" w:themeColor="text1" w:themeTint="F2"/>
          <w:sz w:val="28"/>
          <w:szCs w:val="28"/>
        </w:rPr>
        <w:t>May 6, 2024</w:t>
      </w:r>
    </w:p>
    <w:p w14:paraId="6E373A89" w14:textId="3078B746" w:rsidR="672BBDC7" w:rsidRDefault="672BBDC7" w:rsidP="6E6FC234">
      <w:pPr>
        <w:shd w:val="clear" w:color="auto" w:fill="FFFFFF" w:themeFill="background1"/>
        <w:spacing w:before="240" w:after="0"/>
        <w:rPr>
          <w:rFonts w:ascii="system-ui" w:eastAsia="system-ui" w:hAnsi="system-ui" w:cs="system-ui"/>
          <w:color w:val="0D0D0D" w:themeColor="text1" w:themeTint="F2"/>
          <w:sz w:val="22"/>
          <w:szCs w:val="22"/>
        </w:rPr>
      </w:pPr>
      <w:r w:rsidRPr="6E6FC234">
        <w:rPr>
          <w:rFonts w:ascii="system-ui" w:eastAsia="system-ui" w:hAnsi="system-ui" w:cs="system-ui"/>
          <w:color w:val="0D0D0D" w:themeColor="text1" w:themeTint="F2"/>
          <w:sz w:val="22"/>
          <w:szCs w:val="22"/>
        </w:rPr>
        <w:t>Varun Beverages Limited (VBL), a significant player in the beverage industry, stands as one of the largest franchisees of PepsiCo globally, operating outside the USA.</w:t>
      </w:r>
      <w:r w:rsidR="4EF3B51E" w:rsidRPr="6E6FC234">
        <w:rPr>
          <w:rFonts w:ascii="Montserrat" w:eastAsia="Montserrat" w:hAnsi="Montserrat" w:cs="Montserrat"/>
          <w:color w:val="474444"/>
          <w:sz w:val="20"/>
          <w:szCs w:val="20"/>
        </w:rPr>
        <w:t xml:space="preserve"> </w:t>
      </w:r>
      <w:r w:rsidR="1405E4FB" w:rsidRPr="6E6FC234">
        <w:rPr>
          <w:rFonts w:ascii="system-ui" w:eastAsia="system-ui" w:hAnsi="system-ui" w:cs="system-ui"/>
          <w:color w:val="0D0D0D" w:themeColor="text1" w:themeTint="F2"/>
          <w:sz w:val="22"/>
          <w:szCs w:val="22"/>
        </w:rPr>
        <w:t>VBL manufactures, distributes, and sells a diverse array of carbonated soft drinks (CSDs) and non-carbonated soft drinks (NCSDs), with India standing as its largest market.</w:t>
      </w:r>
      <w:r w:rsidR="2D1271A3" w:rsidRPr="6E6FC234">
        <w:rPr>
          <w:rFonts w:ascii="system-ui" w:eastAsia="system-ui" w:hAnsi="system-ui" w:cs="system-ui"/>
          <w:color w:val="0D0D0D" w:themeColor="text1" w:themeTint="F2"/>
          <w:sz w:val="22"/>
          <w:szCs w:val="22"/>
        </w:rPr>
        <w:t xml:space="preserve"> They utilize automated processes and stringent quality checks, supported by an extensive distribution network spanning 27 states and 7 union territories in India, as reported in fiscal year 2022.</w:t>
      </w:r>
      <w:r w:rsidR="20EDE478" w:rsidRPr="6E6FC234">
        <w:rPr>
          <w:rFonts w:ascii="system-ui" w:eastAsia="system-ui" w:hAnsi="system-ui" w:cs="system-ui"/>
          <w:color w:val="0D0D0D" w:themeColor="text1" w:themeTint="F2"/>
          <w:sz w:val="22"/>
          <w:szCs w:val="22"/>
        </w:rPr>
        <w:t>In this study, we will delve deeper into VBL’s operations to understand the key factors contributing to its remarkable success.</w:t>
      </w:r>
    </w:p>
    <w:p w14:paraId="01FB96AC" w14:textId="31622241" w:rsidR="57F22601" w:rsidRDefault="57F22601" w:rsidP="6E6FC234">
      <w:pPr>
        <w:shd w:val="clear" w:color="auto" w:fill="FFFFFF" w:themeFill="background1"/>
        <w:spacing w:before="240" w:after="0"/>
        <w:rPr>
          <w:rFonts w:ascii="system-ui" w:eastAsia="system-ui" w:hAnsi="system-ui" w:cs="system-ui"/>
          <w:b/>
          <w:bCs/>
          <w:color w:val="0D0D0D" w:themeColor="text1" w:themeTint="F2"/>
          <w:sz w:val="22"/>
          <w:szCs w:val="22"/>
        </w:rPr>
      </w:pPr>
      <w:r w:rsidRPr="6E6FC234">
        <w:rPr>
          <w:rFonts w:ascii="system-ui" w:eastAsia="system-ui" w:hAnsi="system-ui" w:cs="system-ui"/>
          <w:b/>
          <w:bCs/>
          <w:color w:val="0D0D0D" w:themeColor="text1" w:themeTint="F2"/>
          <w:sz w:val="22"/>
          <w:szCs w:val="22"/>
        </w:rPr>
        <w:t>Key areas of investigation include:</w:t>
      </w:r>
    </w:p>
    <w:p w14:paraId="3902179B" w14:textId="10D5D691" w:rsidR="49F5540E" w:rsidRDefault="49F5540E" w:rsidP="6E6FC234">
      <w:pPr>
        <w:shd w:val="clear" w:color="auto" w:fill="FFFFFF" w:themeFill="background1"/>
        <w:spacing w:before="240" w:after="0"/>
        <w:rPr>
          <w:rFonts w:ascii="system-ui" w:eastAsia="system-ui" w:hAnsi="system-ui" w:cs="system-ui"/>
          <w:b/>
          <w:bCs/>
          <w:color w:val="0D0D0D" w:themeColor="text1" w:themeTint="F2"/>
          <w:sz w:val="22"/>
          <w:szCs w:val="22"/>
        </w:rPr>
      </w:pPr>
      <w:r w:rsidRPr="6E6FC234">
        <w:rPr>
          <w:rFonts w:ascii="system-ui" w:eastAsia="system-ui" w:hAnsi="system-ui" w:cs="system-ui"/>
          <w:b/>
          <w:bCs/>
          <w:color w:val="0D0D0D" w:themeColor="text1" w:themeTint="F2"/>
          <w:sz w:val="22"/>
          <w:szCs w:val="22"/>
        </w:rPr>
        <w:t>Manufacturing costs</w:t>
      </w:r>
    </w:p>
    <w:p w14:paraId="3B36C0FC" w14:textId="7BE686CF" w:rsidR="0171DF2F" w:rsidRDefault="0171DF2F" w:rsidP="6E6FC234">
      <w:pPr>
        <w:shd w:val="clear" w:color="auto" w:fill="FFFFFF" w:themeFill="background1"/>
        <w:spacing w:before="240" w:after="0"/>
        <w:rPr>
          <w:rFonts w:ascii="system-ui" w:eastAsia="system-ui" w:hAnsi="system-ui" w:cs="system-ui"/>
          <w:sz w:val="22"/>
          <w:szCs w:val="22"/>
        </w:rPr>
      </w:pPr>
      <w:r w:rsidRPr="6E6FC234">
        <w:rPr>
          <w:rFonts w:ascii="system-ui" w:eastAsia="system-ui" w:hAnsi="system-ui" w:cs="system-ui"/>
          <w:color w:val="0D0D0D" w:themeColor="text1" w:themeTint="F2"/>
          <w:sz w:val="22"/>
          <w:szCs w:val="22"/>
        </w:rPr>
        <w:t>Understanding Varun Beverages Limited's manufacturing costs and identifying expenses related to factories and warehouses will uncover opportunities for cost reduction.</w:t>
      </w:r>
    </w:p>
    <w:p w14:paraId="35160E7B" w14:textId="4BE74CA7" w:rsidR="7732FA36" w:rsidRDefault="7732FA36" w:rsidP="6E6FC234">
      <w:pPr>
        <w:rPr>
          <w:rFonts w:ascii="system-ui" w:eastAsia="system-ui" w:hAnsi="system-ui" w:cs="system-ui"/>
          <w:color w:val="0D0D0D" w:themeColor="text1" w:themeTint="F2"/>
          <w:sz w:val="20"/>
          <w:szCs w:val="20"/>
        </w:rPr>
      </w:pPr>
      <w:r w:rsidRPr="6E6FC234">
        <w:rPr>
          <w:rFonts w:ascii="system-ui" w:eastAsia="system-ui" w:hAnsi="system-ui" w:cs="system-ui"/>
          <w:color w:val="0D0D0D" w:themeColor="text1" w:themeTint="F2"/>
          <w:sz w:val="22"/>
          <w:szCs w:val="22"/>
        </w:rPr>
        <w:t>Manufacturing costs encompass both fixed and variable costs. Fixed costs consist of expenses like white-collar workforce salaries</w:t>
      </w:r>
      <w:r w:rsidR="3D55E962" w:rsidRPr="6E6FC234">
        <w:rPr>
          <w:rFonts w:ascii="system-ui" w:eastAsia="system-ui" w:hAnsi="system-ui" w:cs="system-ui"/>
          <w:color w:val="0D0D0D" w:themeColor="text1" w:themeTint="F2"/>
          <w:sz w:val="22"/>
          <w:szCs w:val="22"/>
        </w:rPr>
        <w:t xml:space="preserve"> and </w:t>
      </w:r>
      <w:r w:rsidRPr="6E6FC234">
        <w:rPr>
          <w:rFonts w:ascii="system-ui" w:eastAsia="system-ui" w:hAnsi="system-ui" w:cs="system-ui"/>
          <w:color w:val="0D0D0D" w:themeColor="text1" w:themeTint="F2"/>
          <w:sz w:val="22"/>
          <w:szCs w:val="22"/>
        </w:rPr>
        <w:t xml:space="preserve">facility </w:t>
      </w:r>
      <w:r w:rsidR="1214C578" w:rsidRPr="6E6FC234">
        <w:rPr>
          <w:rFonts w:ascii="system-ui" w:eastAsia="system-ui" w:hAnsi="system-ui" w:cs="system-ui"/>
          <w:color w:val="0D0D0D" w:themeColor="text1" w:themeTint="F2"/>
          <w:sz w:val="22"/>
          <w:szCs w:val="22"/>
        </w:rPr>
        <w:t>expenditures, (</w:t>
      </w:r>
      <w:r w:rsidRPr="6E6FC234">
        <w:rPr>
          <w:rFonts w:ascii="system-ui" w:eastAsia="system-ui" w:hAnsi="system-ui" w:cs="system-ui"/>
          <w:color w:val="0D0D0D" w:themeColor="text1" w:themeTint="F2"/>
          <w:sz w:val="22"/>
          <w:szCs w:val="22"/>
        </w:rPr>
        <w:t>depreciation</w:t>
      </w:r>
      <w:r w:rsidR="5542DC06" w:rsidRPr="6E6FC234">
        <w:rPr>
          <w:rFonts w:ascii="system-ui" w:eastAsia="system-ui" w:hAnsi="system-ui" w:cs="system-ui"/>
          <w:color w:val="0D0D0D" w:themeColor="text1" w:themeTint="F2"/>
          <w:sz w:val="22"/>
          <w:szCs w:val="22"/>
        </w:rPr>
        <w:t>)</w:t>
      </w:r>
      <w:r w:rsidRPr="6E6FC234">
        <w:rPr>
          <w:rFonts w:ascii="system-ui" w:eastAsia="system-ui" w:hAnsi="system-ui" w:cs="system-ui"/>
          <w:color w:val="0D0D0D" w:themeColor="text1" w:themeTint="F2"/>
          <w:sz w:val="22"/>
          <w:szCs w:val="22"/>
        </w:rPr>
        <w:t>.</w:t>
      </w:r>
      <w:r w:rsidR="14A4B805" w:rsidRPr="6E6FC234">
        <w:rPr>
          <w:rFonts w:ascii="system-ui" w:eastAsia="system-ui" w:hAnsi="system-ui" w:cs="system-ui"/>
          <w:color w:val="0D0D0D" w:themeColor="text1" w:themeTint="F2"/>
          <w:sz w:val="22"/>
          <w:szCs w:val="22"/>
        </w:rPr>
        <w:t xml:space="preserve"> </w:t>
      </w:r>
      <w:r w:rsidR="2C542F47" w:rsidRPr="6E6FC234">
        <w:rPr>
          <w:rFonts w:ascii="system-ui" w:eastAsia="system-ui" w:hAnsi="system-ui" w:cs="system-ui"/>
          <w:color w:val="0D0D0D" w:themeColor="text1" w:themeTint="F2"/>
          <w:sz w:val="22"/>
          <w:szCs w:val="22"/>
        </w:rPr>
        <w:t>Variable costs consist of blue-collar operator wages, utility expenses for essential services like electricity, water, gas, heating, and cooling, and material expenditures.</w:t>
      </w:r>
    </w:p>
    <w:p w14:paraId="504D898E" w14:textId="6D1B1C0E" w:rsidR="76F85F9E" w:rsidRDefault="76F85F9E" w:rsidP="6E6FC234">
      <w:pPr>
        <w:rPr>
          <w:rFonts w:ascii="system-ui" w:eastAsia="system-ui" w:hAnsi="system-ui" w:cs="system-ui"/>
          <w:color w:val="0D0D0D" w:themeColor="text1" w:themeTint="F2"/>
          <w:sz w:val="20"/>
          <w:szCs w:val="20"/>
        </w:rPr>
      </w:pPr>
      <w:r w:rsidRPr="6E6FC234">
        <w:rPr>
          <w:rFonts w:ascii="system-ui" w:eastAsia="system-ui" w:hAnsi="system-ui" w:cs="system-ui"/>
          <w:color w:val="0D0D0D" w:themeColor="text1" w:themeTint="F2"/>
          <w:sz w:val="22"/>
          <w:szCs w:val="22"/>
        </w:rPr>
        <w:t xml:space="preserve">Water and chemicals play integral roles in the sanitation process for packaging bottles. Water is used for cooling purposes, such as cooling the syrup mixture, or the machinery used in the production process. Reducing water usage can contribute to cost reduction for </w:t>
      </w:r>
      <w:r w:rsidR="6559AECD" w:rsidRPr="6E6FC234">
        <w:rPr>
          <w:rFonts w:ascii="system-ui" w:eastAsia="system-ui" w:hAnsi="system-ui" w:cs="system-ui"/>
          <w:color w:val="0D0D0D" w:themeColor="text1" w:themeTint="F2"/>
          <w:sz w:val="22"/>
          <w:szCs w:val="22"/>
        </w:rPr>
        <w:t>VBL.</w:t>
      </w:r>
      <w:r w:rsidR="53DBD1B3" w:rsidRPr="6E6FC234">
        <w:rPr>
          <w:rFonts w:ascii="system-ui" w:eastAsia="system-ui" w:hAnsi="system-ui" w:cs="system-ui"/>
          <w:color w:val="0D0D0D" w:themeColor="text1" w:themeTint="F2"/>
          <w:sz w:val="22"/>
          <w:szCs w:val="22"/>
        </w:rPr>
        <w:t xml:space="preserve"> VBL's soft drink formulations rely on sweeteners such as HFCS, aspartame, stevia, along with phosphoric and citric acids, CO2 for carbonation, preservatives, colors, and emulsifiers/stabilizers.</w:t>
      </w:r>
    </w:p>
    <w:p w14:paraId="06A767EF" w14:textId="56AB9E31" w:rsidR="00CF092D" w:rsidRDefault="00CF092D" w:rsidP="6E6FC234">
      <w:pPr>
        <w:rPr>
          <w:rFonts w:ascii="system-ui" w:eastAsia="system-ui" w:hAnsi="system-ui" w:cs="system-ui"/>
          <w:color w:val="0D0D0D" w:themeColor="text1" w:themeTint="F2"/>
          <w:sz w:val="20"/>
          <w:szCs w:val="20"/>
        </w:rPr>
      </w:pPr>
      <w:r w:rsidRPr="6E6FC234">
        <w:rPr>
          <w:rFonts w:ascii="system-ui" w:eastAsia="system-ui" w:hAnsi="system-ui" w:cs="system-ui"/>
          <w:b/>
          <w:bCs/>
          <w:color w:val="0D0D0D" w:themeColor="text1" w:themeTint="F2"/>
          <w:sz w:val="22"/>
          <w:szCs w:val="22"/>
        </w:rPr>
        <w:t>Sales and Distribution Channel</w:t>
      </w:r>
      <w:r w:rsidR="40240F51" w:rsidRPr="6E6FC234">
        <w:rPr>
          <w:rFonts w:ascii="system-ui" w:eastAsia="system-ui" w:hAnsi="system-ui" w:cs="system-ui"/>
          <w:color w:val="0D0D0D" w:themeColor="text1" w:themeTint="F2"/>
          <w:sz w:val="22"/>
          <w:szCs w:val="22"/>
        </w:rPr>
        <w:t xml:space="preserve"> </w:t>
      </w:r>
    </w:p>
    <w:p w14:paraId="50B78523" w14:textId="21569EF4" w:rsidR="4D30CD7D" w:rsidRDefault="4D30CD7D" w:rsidP="6E6FC234">
      <w:pPr>
        <w:rPr>
          <w:rFonts w:ascii="system-ui" w:eastAsia="system-ui" w:hAnsi="system-ui" w:cs="system-ui"/>
          <w:color w:val="0D0D0D" w:themeColor="text1" w:themeTint="F2"/>
          <w:sz w:val="20"/>
          <w:szCs w:val="20"/>
        </w:rPr>
      </w:pPr>
      <w:r w:rsidRPr="6E6FC234">
        <w:rPr>
          <w:rFonts w:ascii="system-ui" w:eastAsia="system-ui" w:hAnsi="system-ui" w:cs="system-ui"/>
          <w:color w:val="0D0D0D" w:themeColor="text1" w:themeTint="F2"/>
          <w:sz w:val="22"/>
          <w:szCs w:val="22"/>
        </w:rPr>
        <w:t>The m</w:t>
      </w:r>
      <w:r w:rsidR="40240F51" w:rsidRPr="6E6FC234">
        <w:rPr>
          <w:rFonts w:ascii="system-ui" w:eastAsia="system-ui" w:hAnsi="system-ui" w:cs="system-ui"/>
          <w:color w:val="0D0D0D" w:themeColor="text1" w:themeTint="F2"/>
          <w:sz w:val="22"/>
          <w:szCs w:val="22"/>
        </w:rPr>
        <w:t xml:space="preserve">arket share of PepsiCo in overall beverage market (India) is ~30%. </w:t>
      </w:r>
      <w:r w:rsidR="2119C128" w:rsidRPr="6E6FC234">
        <w:rPr>
          <w:rFonts w:ascii="system-ui" w:eastAsia="system-ui" w:hAnsi="system-ui" w:cs="system-ui"/>
          <w:color w:val="0D0D0D" w:themeColor="text1" w:themeTint="F2"/>
          <w:sz w:val="22"/>
          <w:szCs w:val="22"/>
        </w:rPr>
        <w:t>To reach a</w:t>
      </w:r>
      <w:r w:rsidR="40240F51" w:rsidRPr="6E6FC234">
        <w:rPr>
          <w:rFonts w:ascii="system-ui" w:eastAsia="system-ui" w:hAnsi="system-ui" w:cs="system-ui"/>
          <w:color w:val="0D0D0D" w:themeColor="text1" w:themeTint="F2"/>
          <w:sz w:val="22"/>
          <w:szCs w:val="22"/>
        </w:rPr>
        <w:t xml:space="preserve"> leadership position, we need to identify opportunities to penetrate markets.</w:t>
      </w:r>
      <w:r w:rsidR="55A5417C" w:rsidRPr="6E6FC234">
        <w:rPr>
          <w:rFonts w:ascii="system-ui" w:eastAsia="system-ui" w:hAnsi="system-ui" w:cs="system-ui"/>
          <w:color w:val="0D0D0D" w:themeColor="text1" w:themeTint="F2"/>
          <w:sz w:val="22"/>
          <w:szCs w:val="22"/>
        </w:rPr>
        <w:t xml:space="preserve"> The supply chain of Varun Beverages Limited encompasses roughly 34 manufacturing facilities in India. The products manufactured at these plants are subsequently transported to warehouses, </w:t>
      </w:r>
      <w:r w:rsidR="644554C2" w:rsidRPr="6E6FC234">
        <w:rPr>
          <w:rFonts w:ascii="system-ui" w:eastAsia="system-ui" w:hAnsi="system-ui" w:cs="system-ui"/>
          <w:color w:val="0D0D0D" w:themeColor="text1" w:themeTint="F2"/>
          <w:sz w:val="22"/>
          <w:szCs w:val="22"/>
        </w:rPr>
        <w:t>and then distributed to a network of distributors and retailers, which includes both modern retail establishments (Malls, Reliance-commerce) and general trade (Mom &amp; Pop stores</w:t>
      </w:r>
      <w:r w:rsidR="05B0D271" w:rsidRPr="6E6FC234">
        <w:rPr>
          <w:rFonts w:ascii="system-ui" w:eastAsia="system-ui" w:hAnsi="system-ui" w:cs="system-ui"/>
          <w:color w:val="0D0D0D" w:themeColor="text1" w:themeTint="F2"/>
          <w:sz w:val="22"/>
          <w:szCs w:val="22"/>
        </w:rPr>
        <w:t>).</w:t>
      </w:r>
      <w:r w:rsidR="20A9D449" w:rsidRPr="6E6FC234">
        <w:rPr>
          <w:rFonts w:ascii="system-ui" w:eastAsia="system-ui" w:hAnsi="system-ui" w:cs="system-ui"/>
          <w:color w:val="0D0D0D" w:themeColor="text1" w:themeTint="F2"/>
          <w:sz w:val="22"/>
          <w:szCs w:val="22"/>
        </w:rPr>
        <w:t xml:space="preserve"> </w:t>
      </w:r>
    </w:p>
    <w:p w14:paraId="5CBC8571" w14:textId="01E2B612" w:rsidR="32C16DFF" w:rsidRDefault="32C16DFF" w:rsidP="6E6FC234">
      <w:pPr>
        <w:rPr>
          <w:rFonts w:ascii="system-ui" w:eastAsia="system-ui" w:hAnsi="system-ui" w:cs="system-ui"/>
          <w:color w:val="0D0D0D" w:themeColor="text1" w:themeTint="F2"/>
          <w:sz w:val="20"/>
          <w:szCs w:val="20"/>
        </w:rPr>
      </w:pPr>
      <w:r w:rsidRPr="6E6FC234">
        <w:rPr>
          <w:rFonts w:ascii="system-ui" w:eastAsia="system-ui" w:hAnsi="system-ui" w:cs="system-ui"/>
          <w:color w:val="0D0D0D" w:themeColor="text1" w:themeTint="F2"/>
          <w:sz w:val="22"/>
          <w:szCs w:val="22"/>
        </w:rPr>
        <w:t>VBL needs to focus on underpenetrated territories of Bihar, Madhya Pradesh, Jharkhand, and the southern and western regions for potential expansion and market growth.</w:t>
      </w:r>
      <w:r w:rsidR="20E19645" w:rsidRPr="6E6FC234">
        <w:rPr>
          <w:rFonts w:ascii="system-ui" w:eastAsia="system-ui" w:hAnsi="system-ui" w:cs="system-ui"/>
          <w:color w:val="0D0D0D" w:themeColor="text1" w:themeTint="F2"/>
          <w:sz w:val="22"/>
          <w:szCs w:val="22"/>
        </w:rPr>
        <w:t xml:space="preserve"> Andhra Pradesh has other franchised territories which pose a major competition to VBL.</w:t>
      </w:r>
      <w:r w:rsidR="00CF092D" w:rsidRPr="6E6FC234">
        <w:rPr>
          <w:rFonts w:ascii="system-ui" w:eastAsia="system-ui" w:hAnsi="system-ui" w:cs="system-ui"/>
          <w:b/>
          <w:bCs/>
          <w:color w:val="0D0D0D" w:themeColor="text1" w:themeTint="F2"/>
          <w:sz w:val="22"/>
          <w:szCs w:val="22"/>
        </w:rPr>
        <w:t xml:space="preserve"> </w:t>
      </w:r>
      <w:r w:rsidR="7E3ECE6E" w:rsidRPr="6E6FC234">
        <w:rPr>
          <w:rFonts w:ascii="system-ui" w:eastAsia="system-ui" w:hAnsi="system-ui" w:cs="system-ui"/>
          <w:color w:val="0D0D0D" w:themeColor="text1" w:themeTint="F2"/>
          <w:sz w:val="22"/>
          <w:szCs w:val="22"/>
        </w:rPr>
        <w:t>Therefore, examining the supply chain within these areas will help uncover strategies for market penetration.</w:t>
      </w:r>
    </w:p>
    <w:p w14:paraId="4E92DA93" w14:textId="2B4C0260" w:rsidR="7E3ECE6E" w:rsidRDefault="7E3ECE6E" w:rsidP="6E6FC234">
      <w:pPr>
        <w:rPr>
          <w:rFonts w:ascii="system-ui" w:eastAsia="system-ui" w:hAnsi="system-ui" w:cs="system-ui"/>
          <w:b/>
          <w:bCs/>
          <w:color w:val="0D0D0D" w:themeColor="text1" w:themeTint="F2"/>
          <w:sz w:val="20"/>
          <w:szCs w:val="20"/>
        </w:rPr>
      </w:pPr>
      <w:r w:rsidRPr="6E6FC234">
        <w:rPr>
          <w:rFonts w:ascii="system-ui" w:eastAsia="system-ui" w:hAnsi="system-ui" w:cs="system-ui"/>
          <w:b/>
          <w:bCs/>
          <w:color w:val="0D0D0D" w:themeColor="text1" w:themeTint="F2"/>
          <w:sz w:val="22"/>
          <w:szCs w:val="22"/>
        </w:rPr>
        <w:lastRenderedPageBreak/>
        <w:t>Sustainability</w:t>
      </w:r>
    </w:p>
    <w:p w14:paraId="5471259E" w14:textId="6671FEF1" w:rsidR="536BA20F" w:rsidRDefault="536BA20F" w:rsidP="6E6FC234">
      <w:pPr>
        <w:rPr>
          <w:rFonts w:ascii="system-ui" w:eastAsia="system-ui" w:hAnsi="system-ui" w:cs="system-ui"/>
          <w:b/>
          <w:bCs/>
          <w:color w:val="0D0D0D" w:themeColor="text1" w:themeTint="F2"/>
          <w:sz w:val="18"/>
          <w:szCs w:val="18"/>
        </w:rPr>
      </w:pPr>
      <w:r w:rsidRPr="6E6FC234">
        <w:rPr>
          <w:rFonts w:ascii="system-ui" w:eastAsia="system-ui" w:hAnsi="system-ui" w:cs="system-ui"/>
          <w:b/>
          <w:bCs/>
          <w:color w:val="0D0D0D" w:themeColor="text1" w:themeTint="F2"/>
          <w:sz w:val="20"/>
          <w:szCs w:val="20"/>
        </w:rPr>
        <w:t>The mission of VBL:</w:t>
      </w:r>
    </w:p>
    <w:p w14:paraId="7B6AF5B5" w14:textId="41C04BFE" w:rsidR="536BA20F" w:rsidRDefault="536BA20F" w:rsidP="6E6FC234">
      <w:pPr>
        <w:rPr>
          <w:rFonts w:ascii="system -ui" w:eastAsia="system -ui" w:hAnsi="system -ui" w:cs="system -ui"/>
          <w:b/>
          <w:bCs/>
          <w:sz w:val="16"/>
          <w:szCs w:val="16"/>
        </w:rPr>
      </w:pPr>
      <w:r w:rsidRPr="6E6FC234">
        <w:rPr>
          <w:rFonts w:ascii="Montserrat" w:eastAsia="Montserrat" w:hAnsi="Montserrat" w:cs="Montserrat"/>
          <w:b/>
          <w:bCs/>
          <w:color w:val="000000" w:themeColor="text1"/>
          <w:sz w:val="22"/>
          <w:szCs w:val="22"/>
        </w:rPr>
        <w:t>“W</w:t>
      </w:r>
      <w:r w:rsidRPr="6E6FC234">
        <w:rPr>
          <w:rFonts w:ascii="system -ui" w:eastAsia="system -ui" w:hAnsi="system -ui" w:cs="system -ui"/>
          <w:b/>
          <w:bCs/>
          <w:color w:val="000000" w:themeColor="text1"/>
          <w:sz w:val="22"/>
          <w:szCs w:val="22"/>
        </w:rPr>
        <w:t>hile refreshing billions of consumers with a vast portfolio of beverages touching all age groups, we shall ensure a suitable ecosystem with a positive impact on our planet and wellbeing.”</w:t>
      </w:r>
      <w:r w:rsidR="5BE84FFD" w:rsidRPr="6E6FC234">
        <w:rPr>
          <w:rFonts w:ascii="system -ui" w:eastAsia="system -ui" w:hAnsi="system -ui" w:cs="system -ui"/>
          <w:sz w:val="22"/>
          <w:szCs w:val="22"/>
        </w:rPr>
        <w:t xml:space="preserve"> </w:t>
      </w:r>
    </w:p>
    <w:p w14:paraId="71E6F215" w14:textId="27890422" w:rsidR="04EB9D67" w:rsidRDefault="04EB9D67" w:rsidP="6E6FC234">
      <w:p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Water utilization is reduced by investing in next</w:t>
      </w:r>
      <w:r w:rsidR="7F1D1297" w:rsidRPr="6E6FC234">
        <w:rPr>
          <w:rFonts w:ascii="system-ui" w:eastAsia="system-ui" w:hAnsi="system-ui" w:cs="system-ui"/>
          <w:color w:val="0D0D0D" w:themeColor="text1" w:themeTint="F2"/>
        </w:rPr>
        <w:t>-</w:t>
      </w:r>
      <w:r w:rsidRPr="6E6FC234">
        <w:rPr>
          <w:rFonts w:ascii="system-ui" w:eastAsia="system-ui" w:hAnsi="system-ui" w:cs="system-ui"/>
          <w:color w:val="0D0D0D" w:themeColor="text1" w:themeTint="F2"/>
        </w:rPr>
        <w:t>generation lines and plant process improvements.</w:t>
      </w:r>
      <w:r w:rsidR="2F68AB16" w:rsidRPr="6E6FC234">
        <w:rPr>
          <w:rFonts w:ascii="system-ui" w:eastAsia="system-ui" w:hAnsi="system-ui" w:cs="system-ui"/>
          <w:color w:val="0D0D0D" w:themeColor="text1" w:themeTint="F2"/>
        </w:rPr>
        <w:t xml:space="preserve"> </w:t>
      </w:r>
      <w:r w:rsidR="65A7D4AB" w:rsidRPr="6E6FC234">
        <w:rPr>
          <w:rFonts w:ascii="system -ui" w:eastAsia="system -ui" w:hAnsi="system -ui" w:cs="system -ui"/>
          <w:color w:val="000000" w:themeColor="text1"/>
        </w:rPr>
        <w:t>ESG is at the very core of VBL’s DNA</w:t>
      </w:r>
      <w:r w:rsidR="65A7D4AB" w:rsidRPr="6E6FC234">
        <w:rPr>
          <w:rFonts w:ascii="Montserrat" w:eastAsia="Montserrat" w:hAnsi="Montserrat" w:cs="Montserrat"/>
          <w:color w:val="000000" w:themeColor="text1"/>
        </w:rPr>
        <w:t xml:space="preserve"> .</w:t>
      </w:r>
      <w:r w:rsidR="2F68AB16" w:rsidRPr="6E6FC234">
        <w:rPr>
          <w:rFonts w:ascii="system-ui" w:eastAsia="system-ui" w:hAnsi="system-ui" w:cs="system-ui"/>
          <w:color w:val="0D0D0D" w:themeColor="text1" w:themeTint="F2"/>
        </w:rPr>
        <w:t>1.5 billion liters have been saved since 2020.</w:t>
      </w:r>
      <w:r w:rsidR="0C564030" w:rsidRPr="6E6FC234">
        <w:rPr>
          <w:rFonts w:ascii="system-ui" w:eastAsia="system-ui" w:hAnsi="system-ui" w:cs="system-ui"/>
          <w:color w:val="0D0D0D" w:themeColor="text1" w:themeTint="F2"/>
        </w:rPr>
        <w:t xml:space="preserve"> VBL has recycled 85% of its used PET bottles.</w:t>
      </w:r>
      <w:r w:rsidR="237320CE" w:rsidRPr="6E6FC234">
        <w:rPr>
          <w:rFonts w:ascii="system-ui" w:eastAsia="system-ui" w:hAnsi="system-ui" w:cs="system-ui"/>
          <w:color w:val="0D0D0D" w:themeColor="text1" w:themeTint="F2"/>
        </w:rPr>
        <w:t xml:space="preserve"> This reduces carbon emissions by great folds. The weight of the</w:t>
      </w:r>
      <w:r w:rsidR="304D0F41" w:rsidRPr="6E6FC234">
        <w:rPr>
          <w:rFonts w:ascii="system-ui" w:eastAsia="system-ui" w:hAnsi="system-ui" w:cs="system-ui"/>
          <w:color w:val="0D0D0D" w:themeColor="text1" w:themeTint="F2"/>
        </w:rPr>
        <w:t xml:space="preserve"> </w:t>
      </w:r>
      <w:r w:rsidR="35EDFA9F" w:rsidRPr="6E6FC234">
        <w:rPr>
          <w:rFonts w:ascii="system-ui" w:eastAsia="system-ui" w:hAnsi="system-ui" w:cs="system-ui"/>
          <w:color w:val="0D0D0D" w:themeColor="text1" w:themeTint="F2"/>
        </w:rPr>
        <w:t>plastic bottles has also been reduced by 25%.</w:t>
      </w:r>
      <w:r w:rsidR="237320CE" w:rsidRPr="6E6FC234">
        <w:rPr>
          <w:rFonts w:ascii="system-ui" w:eastAsia="system-ui" w:hAnsi="system-ui" w:cs="system-ui"/>
          <w:color w:val="0D0D0D" w:themeColor="text1" w:themeTint="F2"/>
        </w:rPr>
        <w:t xml:space="preserve"> </w:t>
      </w:r>
      <w:r w:rsidR="72C587B2" w:rsidRPr="6E6FC234">
        <w:rPr>
          <w:rFonts w:ascii="system-ui" w:eastAsia="system-ui" w:hAnsi="system-ui" w:cs="system-ui"/>
          <w:color w:val="0D0D0D" w:themeColor="text1" w:themeTint="F2"/>
        </w:rPr>
        <w:t>15% of energy is being sourced entirely from renewable methods.</w:t>
      </w:r>
    </w:p>
    <w:p w14:paraId="2D0C8902" w14:textId="1AF57918" w:rsidR="6C05EB26" w:rsidRDefault="6C05EB26" w:rsidP="6E6FC234">
      <w:p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We would like to delve deeper into this mission of VBL and explore more solutions.</w:t>
      </w:r>
    </w:p>
    <w:p w14:paraId="61327EF8" w14:textId="2802FF9C" w:rsidR="0C456780" w:rsidRDefault="0C456780" w:rsidP="6E6FC234">
      <w:p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In conclusion, examining sales and distribution channels, addressing sustainability concerns, and identifying manufacturing costs are crucial components within the beverage industry. By delving deep into the challenges, and proposed sol</w:t>
      </w:r>
      <w:r w:rsidR="644F24B1" w:rsidRPr="6E6FC234">
        <w:rPr>
          <w:rFonts w:ascii="system-ui" w:eastAsia="system-ui" w:hAnsi="system-ui" w:cs="system-ui"/>
          <w:color w:val="0D0D0D" w:themeColor="text1" w:themeTint="F2"/>
        </w:rPr>
        <w:t xml:space="preserve">utions within this domain, we aim to enhance understanding, foster innovation, and drive continuous improvement within the </w:t>
      </w:r>
      <w:r w:rsidR="36DDAF9F" w:rsidRPr="6E6FC234">
        <w:rPr>
          <w:rFonts w:ascii="system-ui" w:eastAsia="system-ui" w:hAnsi="system-ui" w:cs="system-ui"/>
          <w:color w:val="0D0D0D" w:themeColor="text1" w:themeTint="F2"/>
        </w:rPr>
        <w:t>beverage industry.</w:t>
      </w:r>
    </w:p>
    <w:p w14:paraId="571BD0DD" w14:textId="0BF4405F" w:rsidR="6C05EB26" w:rsidRDefault="6C05EB26" w:rsidP="6E6FC234">
      <w:p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 xml:space="preserve"> Details:</w:t>
      </w:r>
    </w:p>
    <w:p w14:paraId="640D5102" w14:textId="79398A93" w:rsidR="6C05EB26" w:rsidRDefault="6C05EB26" w:rsidP="6E6FC234">
      <w:pPr>
        <w:pStyle w:val="ListParagraph"/>
        <w:numPr>
          <w:ilvl w:val="0"/>
          <w:numId w:val="1"/>
        </w:num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Number of visits required:</w:t>
      </w:r>
      <w:r w:rsidR="019AB1C0" w:rsidRPr="6E6FC234">
        <w:rPr>
          <w:rFonts w:ascii="system-ui" w:eastAsia="system-ui" w:hAnsi="system-ui" w:cs="system-ui"/>
          <w:color w:val="0D0D0D" w:themeColor="text1" w:themeTint="F2"/>
        </w:rPr>
        <w:t xml:space="preserve"> </w:t>
      </w:r>
      <w:r w:rsidR="00F30727">
        <w:rPr>
          <w:rFonts w:ascii="system-ui" w:eastAsia="system-ui" w:hAnsi="system-ui" w:cs="system-ui"/>
          <w:color w:val="0D0D0D" w:themeColor="text1" w:themeTint="F2"/>
        </w:rPr>
        <w:t>3</w:t>
      </w:r>
    </w:p>
    <w:p w14:paraId="189DAD8C" w14:textId="42E4ACEF" w:rsidR="6C05EB26" w:rsidRDefault="6C05EB26" w:rsidP="6E6FC234">
      <w:pPr>
        <w:pStyle w:val="ListParagraph"/>
        <w:numPr>
          <w:ilvl w:val="0"/>
          <w:numId w:val="1"/>
        </w:numPr>
        <w:rPr>
          <w:rFonts w:ascii="system-ui" w:eastAsia="system-ui" w:hAnsi="system-ui" w:cs="system-ui"/>
          <w:color w:val="0D0D0D" w:themeColor="text1" w:themeTint="F2"/>
        </w:rPr>
      </w:pPr>
      <w:r w:rsidRPr="6E6FC234">
        <w:rPr>
          <w:rFonts w:ascii="system-ui" w:eastAsia="system-ui" w:hAnsi="system-ui" w:cs="system-ui"/>
          <w:color w:val="0D0D0D" w:themeColor="text1" w:themeTint="F2"/>
        </w:rPr>
        <w:t>Cost incurred per visit:</w:t>
      </w:r>
      <w:r w:rsidR="00F30727">
        <w:rPr>
          <w:rFonts w:ascii="system-ui" w:eastAsia="system-ui" w:hAnsi="system-ui" w:cs="system-ui"/>
          <w:color w:val="0D0D0D" w:themeColor="text1" w:themeTint="F2"/>
        </w:rPr>
        <w:t xml:space="preserve"> approx. Rs. 4000</w:t>
      </w:r>
    </w:p>
    <w:p w14:paraId="6015EAC2" w14:textId="77777777" w:rsidR="00F30727" w:rsidRDefault="00F30727" w:rsidP="00F30727">
      <w:pPr>
        <w:rPr>
          <w:rFonts w:ascii="system-ui" w:eastAsia="system-ui" w:hAnsi="system-ui" w:cs="system-ui"/>
          <w:color w:val="0D0D0D" w:themeColor="text1" w:themeTint="F2"/>
        </w:rPr>
      </w:pPr>
    </w:p>
    <w:p w14:paraId="63061DFA" w14:textId="77777777" w:rsidR="00F30727" w:rsidRDefault="00F30727" w:rsidP="00F30727">
      <w:pPr>
        <w:rPr>
          <w:rFonts w:ascii="system-ui" w:eastAsia="system-ui" w:hAnsi="system-ui" w:cs="system-ui"/>
          <w:color w:val="0D0D0D" w:themeColor="text1" w:themeTint="F2"/>
        </w:rPr>
      </w:pPr>
    </w:p>
    <w:p w14:paraId="5D855768" w14:textId="77777777" w:rsidR="00F30727" w:rsidRDefault="00F30727" w:rsidP="00F30727">
      <w:pPr>
        <w:rPr>
          <w:rFonts w:ascii="system-ui" w:eastAsia="system-ui" w:hAnsi="system-ui" w:cs="system-ui"/>
          <w:color w:val="0D0D0D" w:themeColor="text1" w:themeTint="F2"/>
        </w:rPr>
      </w:pPr>
    </w:p>
    <w:p w14:paraId="760A39FB" w14:textId="77777777" w:rsidR="00F30727" w:rsidRDefault="00F30727" w:rsidP="00F30727">
      <w:pPr>
        <w:rPr>
          <w:rFonts w:ascii="system-ui" w:eastAsia="system-ui" w:hAnsi="system-ui" w:cs="system-ui"/>
          <w:color w:val="0D0D0D" w:themeColor="text1" w:themeTint="F2"/>
        </w:rPr>
      </w:pPr>
    </w:p>
    <w:p w14:paraId="3FDA3DDE" w14:textId="77777777" w:rsidR="00F30727" w:rsidRDefault="00F30727" w:rsidP="00F30727">
      <w:pPr>
        <w:rPr>
          <w:rFonts w:ascii="system-ui" w:eastAsia="system-ui" w:hAnsi="system-ui" w:cs="system-ui"/>
          <w:color w:val="0D0D0D" w:themeColor="text1" w:themeTint="F2"/>
        </w:rPr>
      </w:pPr>
    </w:p>
    <w:p w14:paraId="194131D5" w14:textId="77777777" w:rsidR="00F30727" w:rsidRDefault="00F30727" w:rsidP="00F30727">
      <w:pPr>
        <w:rPr>
          <w:rFonts w:ascii="system-ui" w:eastAsia="system-ui" w:hAnsi="system-ui" w:cs="system-ui"/>
          <w:color w:val="0D0D0D" w:themeColor="text1" w:themeTint="F2"/>
        </w:rPr>
      </w:pPr>
    </w:p>
    <w:p w14:paraId="1E8F7E18" w14:textId="77777777" w:rsidR="00F30727" w:rsidRDefault="00F30727" w:rsidP="00F30727">
      <w:pPr>
        <w:rPr>
          <w:rFonts w:ascii="system-ui" w:eastAsia="system-ui" w:hAnsi="system-ui" w:cs="system-ui"/>
          <w:color w:val="0D0D0D" w:themeColor="text1" w:themeTint="F2"/>
        </w:rPr>
      </w:pPr>
    </w:p>
    <w:p w14:paraId="4F28351B" w14:textId="77777777" w:rsidR="00F30727" w:rsidRDefault="00F30727" w:rsidP="00F30727">
      <w:pPr>
        <w:rPr>
          <w:rFonts w:ascii="system-ui" w:eastAsia="system-ui" w:hAnsi="system-ui" w:cs="system-ui"/>
          <w:color w:val="0D0D0D" w:themeColor="text1" w:themeTint="F2"/>
        </w:rPr>
      </w:pPr>
    </w:p>
    <w:p w14:paraId="55BCB72A" w14:textId="77777777" w:rsidR="00F30727" w:rsidRDefault="00F30727" w:rsidP="00F30727">
      <w:pPr>
        <w:rPr>
          <w:rFonts w:ascii="system-ui" w:eastAsia="system-ui" w:hAnsi="system-ui" w:cs="system-ui"/>
          <w:color w:val="0D0D0D" w:themeColor="text1" w:themeTint="F2"/>
        </w:rPr>
      </w:pPr>
    </w:p>
    <w:p w14:paraId="77A9BB27" w14:textId="77777777" w:rsidR="00F30727" w:rsidRDefault="00F30727" w:rsidP="00F30727">
      <w:pPr>
        <w:rPr>
          <w:rFonts w:ascii="system-ui" w:eastAsia="system-ui" w:hAnsi="system-ui" w:cs="system-ui"/>
          <w:color w:val="0D0D0D" w:themeColor="text1" w:themeTint="F2"/>
        </w:rPr>
      </w:pPr>
    </w:p>
    <w:p w14:paraId="059E35F4" w14:textId="77777777" w:rsidR="00F30727" w:rsidRDefault="00F30727" w:rsidP="00F30727">
      <w:pPr>
        <w:rPr>
          <w:rFonts w:ascii="system-ui" w:eastAsia="system-ui" w:hAnsi="system-ui" w:cs="system-ui"/>
          <w:color w:val="0D0D0D" w:themeColor="text1" w:themeTint="F2"/>
        </w:rPr>
      </w:pPr>
    </w:p>
    <w:p w14:paraId="3358DF87" w14:textId="77777777" w:rsidR="00F30727" w:rsidRDefault="00F30727" w:rsidP="00F30727">
      <w:pPr>
        <w:pStyle w:val="NormalWeb"/>
        <w:spacing w:before="0" w:beforeAutospacing="0" w:after="40" w:afterAutospacing="0"/>
        <w:ind w:left="-20"/>
        <w:jc w:val="center"/>
      </w:pPr>
      <w:r>
        <w:rPr>
          <w:rFonts w:ascii="Arial" w:hAnsi="Arial" w:cs="Arial"/>
          <w:color w:val="000000"/>
          <w:sz w:val="36"/>
          <w:szCs w:val="36"/>
        </w:rPr>
        <w:lastRenderedPageBreak/>
        <w:t>Industrial Exploration of Glider India Limited: A Strategic Analysis</w:t>
      </w:r>
    </w:p>
    <w:p w14:paraId="738414BB" w14:textId="77777777" w:rsidR="00F30727" w:rsidRDefault="00F30727" w:rsidP="00F30727">
      <w:pPr>
        <w:pStyle w:val="NormalWeb"/>
        <w:spacing w:before="0" w:beforeAutospacing="0" w:after="160" w:afterAutospacing="0"/>
        <w:ind w:left="20"/>
        <w:jc w:val="center"/>
      </w:pPr>
      <w:r>
        <w:rPr>
          <w:rFonts w:ascii="Roboto" w:hAnsi="Roboto"/>
          <w:color w:val="000000"/>
          <w:sz w:val="28"/>
          <w:szCs w:val="28"/>
        </w:rPr>
        <w:t xml:space="preserve">Aditya Khandelwal    |     Arsh Jain    |    Aryan Chaturvedi </w:t>
      </w:r>
      <w:r>
        <w:rPr>
          <w:rFonts w:ascii="Arial" w:hAnsi="Arial" w:cs="Arial"/>
          <w:color w:val="000000"/>
        </w:rPr>
        <w:t> </w:t>
      </w:r>
    </w:p>
    <w:p w14:paraId="2D1C5035" w14:textId="77777777" w:rsidR="00F30727" w:rsidRDefault="00F30727" w:rsidP="00F30727">
      <w:pPr>
        <w:pStyle w:val="NormalWeb"/>
        <w:spacing w:before="0" w:beforeAutospacing="0" w:after="400" w:afterAutospacing="0"/>
        <w:ind w:left="20"/>
        <w:jc w:val="center"/>
      </w:pPr>
      <w:r>
        <w:rPr>
          <w:rFonts w:ascii="Arial" w:hAnsi="Arial" w:cs="Arial"/>
          <w:color w:val="000000"/>
        </w:rPr>
        <w:t>04 May 2024</w:t>
      </w:r>
    </w:p>
    <w:p w14:paraId="323DC7EA" w14:textId="77777777" w:rsidR="00F30727" w:rsidRDefault="00F30727" w:rsidP="00F30727">
      <w:pPr>
        <w:pStyle w:val="Heading1"/>
        <w:spacing w:before="480" w:after="120"/>
        <w:jc w:val="center"/>
      </w:pPr>
      <w:r>
        <w:rPr>
          <w:rFonts w:ascii="Arial" w:hAnsi="Arial" w:cs="Arial"/>
          <w:color w:val="000000"/>
          <w:sz w:val="46"/>
          <w:szCs w:val="46"/>
        </w:rPr>
        <w:t>Abstract</w:t>
      </w:r>
    </w:p>
    <w:p w14:paraId="072B1A80" w14:textId="77777777" w:rsidR="00F30727" w:rsidRDefault="00F30727" w:rsidP="00F30727"/>
    <w:p w14:paraId="1BA466B6" w14:textId="77777777" w:rsidR="00F30727" w:rsidRDefault="00F30727" w:rsidP="00F30727">
      <w:pPr>
        <w:pStyle w:val="NormalWeb"/>
        <w:spacing w:before="0" w:beforeAutospacing="0" w:after="40" w:afterAutospacing="0"/>
        <w:ind w:left="-20"/>
      </w:pPr>
      <w:r>
        <w:rPr>
          <w:rFonts w:ascii="Arial" w:hAnsi="Arial" w:cs="Arial"/>
          <w:color w:val="000000"/>
          <w:sz w:val="22"/>
          <w:szCs w:val="22"/>
        </w:rPr>
        <w:t xml:space="preserve">Gliders India Limited (GIL), situated in Kanpur, stands as a cornerstone in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manufacturing, particularly renowned for its precision-engineered parachutes and critical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components vital for national security. With a rich history of innovation and reliability, GIL's commitment to precision engineering underscores its reputation for delivering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solutions that surpass stringent quality standards.</w:t>
      </w:r>
    </w:p>
    <w:p w14:paraId="0D050F2A" w14:textId="77777777" w:rsidR="00F30727" w:rsidRDefault="00F30727" w:rsidP="00F30727">
      <w:pPr>
        <w:pStyle w:val="NormalWeb"/>
        <w:spacing w:before="0" w:beforeAutospacing="0" w:after="40" w:afterAutospacing="0"/>
        <w:ind w:left="-20"/>
      </w:pPr>
      <w:r>
        <w:rPr>
          <w:rFonts w:ascii="Arial" w:hAnsi="Arial" w:cs="Arial"/>
          <w:color w:val="000000"/>
          <w:sz w:val="22"/>
          <w:szCs w:val="22"/>
        </w:rPr>
        <w:t xml:space="preserve">At the heart of GIL's operations lies a sophisticated approach to precision engineering, ensuring the production of parachutes and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components that excel in performance and durability. The company employs advanced design methodologies, meticulous materials selection, and cutting-edge manufacturing processes to craft parachutes that meet the diverse needs of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applications.</w:t>
      </w:r>
    </w:p>
    <w:p w14:paraId="162376D5" w14:textId="77777777" w:rsidR="00F30727" w:rsidRDefault="00F30727" w:rsidP="00F30727"/>
    <w:p w14:paraId="6992822C" w14:textId="77777777" w:rsidR="00F30727" w:rsidRDefault="00F30727" w:rsidP="00F30727">
      <w:pPr>
        <w:pStyle w:val="NormalWeb"/>
        <w:spacing w:before="0" w:beforeAutospacing="0" w:after="40" w:afterAutospacing="0"/>
        <w:ind w:left="-20"/>
      </w:pPr>
      <w:r>
        <w:rPr>
          <w:b/>
          <w:bCs/>
          <w:color w:val="0D0D0D"/>
          <w:sz w:val="28"/>
          <w:szCs w:val="28"/>
        </w:rPr>
        <w:t>Key areas of investigation include:</w:t>
      </w:r>
    </w:p>
    <w:p w14:paraId="3498C60D" w14:textId="77777777" w:rsidR="00F30727" w:rsidRDefault="00F30727" w:rsidP="00F30727"/>
    <w:p w14:paraId="63F2A20F" w14:textId="77777777" w:rsidR="00F30727" w:rsidRDefault="00F30727" w:rsidP="00F30727">
      <w:pPr>
        <w:pStyle w:val="NormalWeb"/>
        <w:spacing w:before="0" w:beforeAutospacing="0" w:after="40" w:afterAutospacing="0"/>
        <w:ind w:left="-20"/>
      </w:pPr>
      <w:r>
        <w:rPr>
          <w:rFonts w:ascii="Arial" w:hAnsi="Arial" w:cs="Arial"/>
          <w:b/>
          <w:bCs/>
          <w:color w:val="000000"/>
          <w:sz w:val="22"/>
          <w:szCs w:val="22"/>
        </w:rPr>
        <w:t xml:space="preserve">Diverse Range of </w:t>
      </w:r>
      <w:proofErr w:type="spellStart"/>
      <w:r>
        <w:rPr>
          <w:rFonts w:ascii="Arial" w:hAnsi="Arial" w:cs="Arial"/>
          <w:b/>
          <w:bCs/>
          <w:color w:val="000000"/>
          <w:sz w:val="22"/>
          <w:szCs w:val="22"/>
        </w:rPr>
        <w:t>Defense</w:t>
      </w:r>
      <w:proofErr w:type="spellEnd"/>
      <w:r>
        <w:rPr>
          <w:rFonts w:ascii="Arial" w:hAnsi="Arial" w:cs="Arial"/>
          <w:b/>
          <w:bCs/>
          <w:color w:val="000000"/>
          <w:sz w:val="22"/>
          <w:szCs w:val="22"/>
        </w:rPr>
        <w:t xml:space="preserve"> Products</w:t>
      </w:r>
    </w:p>
    <w:p w14:paraId="6E400245" w14:textId="77777777" w:rsidR="00F30727" w:rsidRDefault="00F30727" w:rsidP="00F30727">
      <w:pPr>
        <w:pStyle w:val="NormalWeb"/>
        <w:spacing w:before="0" w:beforeAutospacing="0" w:after="40" w:afterAutospacing="0"/>
        <w:ind w:left="-20"/>
      </w:pPr>
      <w:r>
        <w:rPr>
          <w:rFonts w:ascii="Arial" w:hAnsi="Arial" w:cs="Arial"/>
          <w:color w:val="000000"/>
          <w:sz w:val="22"/>
          <w:szCs w:val="22"/>
        </w:rPr>
        <w:t xml:space="preserve">GIL's </w:t>
      </w:r>
      <w:proofErr w:type="spellStart"/>
      <w:r>
        <w:rPr>
          <w:rFonts w:ascii="Arial" w:hAnsi="Arial" w:cs="Arial"/>
          <w:color w:val="000000"/>
          <w:sz w:val="22"/>
          <w:szCs w:val="22"/>
        </w:rPr>
        <w:t>catalog</w:t>
      </w:r>
      <w:proofErr w:type="spellEnd"/>
      <w:r>
        <w:rPr>
          <w:rFonts w:ascii="Arial" w:hAnsi="Arial" w:cs="Arial"/>
          <w:color w:val="000000"/>
          <w:sz w:val="22"/>
          <w:szCs w:val="22"/>
        </w:rPr>
        <w:t xml:space="preserve"> encompasses various parachutes tailored for various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applications, including personnel parachutes, cargo parachutes, and specialized variants. Each parachute undergoes rigorous testing and refinement to ensure optimal functionality and reliability in demanding operational environments, reinforcing GIL's reputation as a trusted supplier to </w:t>
      </w:r>
      <w:proofErr w:type="spellStart"/>
      <w:r>
        <w:rPr>
          <w:rFonts w:ascii="Arial" w:hAnsi="Arial" w:cs="Arial"/>
          <w:color w:val="000000"/>
          <w:sz w:val="22"/>
          <w:szCs w:val="22"/>
        </w:rPr>
        <w:t>defense</w:t>
      </w:r>
      <w:proofErr w:type="spellEnd"/>
      <w:r>
        <w:rPr>
          <w:rFonts w:ascii="Arial" w:hAnsi="Arial" w:cs="Arial"/>
          <w:color w:val="000000"/>
          <w:sz w:val="22"/>
          <w:szCs w:val="22"/>
        </w:rPr>
        <w:t xml:space="preserve"> agencies and armed forces.</w:t>
      </w:r>
    </w:p>
    <w:p w14:paraId="28A415B1" w14:textId="77777777" w:rsidR="00F30727" w:rsidRDefault="00F30727" w:rsidP="00F30727">
      <w:pPr>
        <w:spacing w:after="240"/>
      </w:pPr>
    </w:p>
    <w:p w14:paraId="39E0EE42" w14:textId="77777777" w:rsidR="00F30727" w:rsidRDefault="00F30727" w:rsidP="00F30727">
      <w:pPr>
        <w:pStyle w:val="NormalWeb"/>
        <w:spacing w:before="0" w:beforeAutospacing="0" w:after="40" w:afterAutospacing="0"/>
        <w:ind w:left="-20"/>
      </w:pPr>
      <w:r>
        <w:rPr>
          <w:rFonts w:ascii="Arial" w:hAnsi="Arial" w:cs="Arial"/>
          <w:b/>
          <w:bCs/>
          <w:color w:val="000000"/>
          <w:sz w:val="22"/>
          <w:szCs w:val="22"/>
        </w:rPr>
        <w:t>Precision Engineering Involved in Production</w:t>
      </w:r>
    </w:p>
    <w:p w14:paraId="05213458" w14:textId="77777777" w:rsidR="00F30727" w:rsidRDefault="00F30727" w:rsidP="00F30727">
      <w:pPr>
        <w:pStyle w:val="NormalWeb"/>
        <w:spacing w:before="0" w:beforeAutospacing="0" w:after="40" w:afterAutospacing="0"/>
        <w:ind w:left="-20"/>
      </w:pPr>
      <w:r>
        <w:rPr>
          <w:rFonts w:ascii="Arial" w:hAnsi="Arial" w:cs="Arial"/>
          <w:color w:val="000000"/>
          <w:sz w:val="22"/>
          <w:szCs w:val="22"/>
        </w:rPr>
        <w:t xml:space="preserve">We aim to study the precision engineering involved in the production of </w:t>
      </w:r>
      <w:proofErr w:type="spellStart"/>
      <w:r>
        <w:rPr>
          <w:rFonts w:ascii="Arial" w:hAnsi="Arial" w:cs="Arial"/>
          <w:color w:val="000000"/>
          <w:sz w:val="22"/>
          <w:szCs w:val="22"/>
        </w:rPr>
        <w:t>defense</w:t>
      </w:r>
      <w:proofErr w:type="spellEnd"/>
      <w:r>
        <w:rPr>
          <w:rFonts w:ascii="Arial" w:hAnsi="Arial" w:cs="Arial"/>
          <w:color w:val="000000"/>
          <w:sz w:val="22"/>
          <w:szCs w:val="22"/>
        </w:rPr>
        <w:t>-grade parachutes and a detailed analysis of GIL’s technological advancements which focus on its glider designs, engineering capabilities, and research initiatives. Special emphasis is placed on the company's contributions to enhancing aviation safety, efficiency, and sustainability through its cutting-edge technologies.</w:t>
      </w:r>
    </w:p>
    <w:p w14:paraId="65E1C9B1" w14:textId="77777777" w:rsidR="00F30727" w:rsidRDefault="00F30727" w:rsidP="00F30727">
      <w:pPr>
        <w:spacing w:after="240"/>
      </w:pPr>
    </w:p>
    <w:p w14:paraId="22036E35" w14:textId="77777777" w:rsidR="00F30727" w:rsidRDefault="00F30727" w:rsidP="00F30727">
      <w:pPr>
        <w:pStyle w:val="NormalWeb"/>
        <w:spacing w:before="0" w:beforeAutospacing="0" w:after="80" w:afterAutospacing="0"/>
      </w:pPr>
      <w:r>
        <w:rPr>
          <w:rFonts w:ascii="Arial" w:hAnsi="Arial" w:cs="Arial"/>
          <w:color w:val="000000"/>
          <w:sz w:val="22"/>
          <w:szCs w:val="22"/>
        </w:rPr>
        <w:t>Details:</w:t>
      </w:r>
    </w:p>
    <w:p w14:paraId="78A7B819" w14:textId="77777777" w:rsidR="00F30727" w:rsidRDefault="00F30727" w:rsidP="00F30727">
      <w:pPr>
        <w:pStyle w:val="NormalWeb"/>
        <w:spacing w:before="240" w:beforeAutospacing="0" w:after="240" w:afterAutospacing="0"/>
        <w:ind w:left="440" w:hanging="24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Number of visits required: 3</w:t>
      </w:r>
    </w:p>
    <w:p w14:paraId="554E96E9" w14:textId="01614525" w:rsidR="00F30727" w:rsidRDefault="00F30727" w:rsidP="00F30727">
      <w:pPr>
        <w:pStyle w:val="NormalWeb"/>
        <w:spacing w:before="0" w:beforeAutospacing="0" w:after="1040" w:afterAutospacing="0"/>
        <w:ind w:left="440" w:hanging="240"/>
      </w:pPr>
      <w:r>
        <w:rPr>
          <w:rFonts w:ascii="Arial" w:hAnsi="Arial" w:cs="Arial"/>
          <w:color w:val="000000"/>
          <w:sz w:val="22"/>
          <w:szCs w:val="22"/>
        </w:rPr>
        <w:t>2.</w:t>
      </w:r>
      <w:r>
        <w:rPr>
          <w:rStyle w:val="apple-tab-span"/>
          <w:rFonts w:ascii="Arial" w:eastAsiaTheme="majorEastAsia" w:hAnsi="Arial" w:cs="Arial"/>
          <w:color w:val="000000"/>
          <w:sz w:val="14"/>
          <w:szCs w:val="14"/>
        </w:rPr>
        <w:tab/>
      </w:r>
      <w:r>
        <w:rPr>
          <w:rFonts w:ascii="Arial" w:hAnsi="Arial" w:cs="Arial"/>
          <w:color w:val="000000"/>
          <w:sz w:val="22"/>
          <w:szCs w:val="22"/>
        </w:rPr>
        <w:t xml:space="preserve">Cost incurred per visit: </w:t>
      </w:r>
      <w:r>
        <w:rPr>
          <w:rFonts w:ascii="Arial" w:hAnsi="Arial" w:cs="Arial"/>
          <w:color w:val="000000"/>
          <w:sz w:val="22"/>
          <w:szCs w:val="22"/>
        </w:rPr>
        <w:t>approx. Rs.</w:t>
      </w:r>
      <w:r>
        <w:rPr>
          <w:rFonts w:ascii="Arial" w:hAnsi="Arial" w:cs="Arial"/>
          <w:color w:val="000000"/>
          <w:sz w:val="22"/>
          <w:szCs w:val="22"/>
        </w:rPr>
        <w:t xml:space="preserve"> 4000</w:t>
      </w:r>
    </w:p>
    <w:p w14:paraId="0F252D87" w14:textId="77777777" w:rsidR="00F30727" w:rsidRDefault="00F30727" w:rsidP="00F30727">
      <w:pPr>
        <w:rPr>
          <w:rFonts w:ascii="system-ui" w:eastAsia="system-ui" w:hAnsi="system-ui" w:cs="system-ui"/>
          <w:color w:val="0D0D0D" w:themeColor="text1" w:themeTint="F2"/>
        </w:rPr>
      </w:pPr>
    </w:p>
    <w:p w14:paraId="18CFBC47" w14:textId="77777777" w:rsidR="00F30727" w:rsidRPr="00F30727" w:rsidRDefault="00F30727" w:rsidP="00F30727">
      <w:pPr>
        <w:rPr>
          <w:rFonts w:ascii="system-ui" w:eastAsia="system-ui" w:hAnsi="system-ui" w:cs="system-ui"/>
          <w:color w:val="0D0D0D" w:themeColor="text1" w:themeTint="F2"/>
        </w:rPr>
      </w:pPr>
    </w:p>
    <w:sectPr w:rsidR="00F30727" w:rsidRPr="00F3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ystem -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0CB72"/>
    <w:multiLevelType w:val="hybridMultilevel"/>
    <w:tmpl w:val="53B80B32"/>
    <w:lvl w:ilvl="0" w:tplc="ED8CA292">
      <w:start w:val="1"/>
      <w:numFmt w:val="decimal"/>
      <w:lvlText w:val="%1."/>
      <w:lvlJc w:val="left"/>
      <w:pPr>
        <w:ind w:left="720" w:hanging="360"/>
      </w:pPr>
    </w:lvl>
    <w:lvl w:ilvl="1" w:tplc="3998E1CE">
      <w:start w:val="1"/>
      <w:numFmt w:val="lowerLetter"/>
      <w:lvlText w:val="%2."/>
      <w:lvlJc w:val="left"/>
      <w:pPr>
        <w:ind w:left="1440" w:hanging="360"/>
      </w:pPr>
    </w:lvl>
    <w:lvl w:ilvl="2" w:tplc="5198A520">
      <w:start w:val="1"/>
      <w:numFmt w:val="lowerRoman"/>
      <w:lvlText w:val="%3."/>
      <w:lvlJc w:val="right"/>
      <w:pPr>
        <w:ind w:left="2160" w:hanging="180"/>
      </w:pPr>
    </w:lvl>
    <w:lvl w:ilvl="3" w:tplc="54ACD468">
      <w:start w:val="1"/>
      <w:numFmt w:val="decimal"/>
      <w:lvlText w:val="%4."/>
      <w:lvlJc w:val="left"/>
      <w:pPr>
        <w:ind w:left="2880" w:hanging="360"/>
      </w:pPr>
    </w:lvl>
    <w:lvl w:ilvl="4" w:tplc="59E2CD4A">
      <w:start w:val="1"/>
      <w:numFmt w:val="lowerLetter"/>
      <w:lvlText w:val="%5."/>
      <w:lvlJc w:val="left"/>
      <w:pPr>
        <w:ind w:left="3600" w:hanging="360"/>
      </w:pPr>
    </w:lvl>
    <w:lvl w:ilvl="5" w:tplc="1316AE50">
      <w:start w:val="1"/>
      <w:numFmt w:val="lowerRoman"/>
      <w:lvlText w:val="%6."/>
      <w:lvlJc w:val="right"/>
      <w:pPr>
        <w:ind w:left="4320" w:hanging="180"/>
      </w:pPr>
    </w:lvl>
    <w:lvl w:ilvl="6" w:tplc="E29868D8">
      <w:start w:val="1"/>
      <w:numFmt w:val="decimal"/>
      <w:lvlText w:val="%7."/>
      <w:lvlJc w:val="left"/>
      <w:pPr>
        <w:ind w:left="5040" w:hanging="360"/>
      </w:pPr>
    </w:lvl>
    <w:lvl w:ilvl="7" w:tplc="96C69CD6">
      <w:start w:val="1"/>
      <w:numFmt w:val="lowerLetter"/>
      <w:lvlText w:val="%8."/>
      <w:lvlJc w:val="left"/>
      <w:pPr>
        <w:ind w:left="5760" w:hanging="360"/>
      </w:pPr>
    </w:lvl>
    <w:lvl w:ilvl="8" w:tplc="59DCE48C">
      <w:start w:val="1"/>
      <w:numFmt w:val="lowerRoman"/>
      <w:lvlText w:val="%9."/>
      <w:lvlJc w:val="right"/>
      <w:pPr>
        <w:ind w:left="6480" w:hanging="180"/>
      </w:pPr>
    </w:lvl>
  </w:abstractNum>
  <w:abstractNum w:abstractNumId="1" w15:restartNumberingAfterBreak="0">
    <w:nsid w:val="53ACEA7F"/>
    <w:multiLevelType w:val="hybridMultilevel"/>
    <w:tmpl w:val="C9CC5212"/>
    <w:lvl w:ilvl="0" w:tplc="0508856C">
      <w:start w:val="1"/>
      <w:numFmt w:val="bullet"/>
      <w:lvlText w:val=""/>
      <w:lvlJc w:val="left"/>
      <w:pPr>
        <w:ind w:left="720" w:hanging="360"/>
      </w:pPr>
      <w:rPr>
        <w:rFonts w:ascii="Symbol" w:hAnsi="Symbol" w:hint="default"/>
      </w:rPr>
    </w:lvl>
    <w:lvl w:ilvl="1" w:tplc="EBA00C5E">
      <w:start w:val="1"/>
      <w:numFmt w:val="bullet"/>
      <w:lvlText w:val="o"/>
      <w:lvlJc w:val="left"/>
      <w:pPr>
        <w:ind w:left="1440" w:hanging="360"/>
      </w:pPr>
      <w:rPr>
        <w:rFonts w:ascii="Courier New" w:hAnsi="Courier New" w:hint="default"/>
      </w:rPr>
    </w:lvl>
    <w:lvl w:ilvl="2" w:tplc="E1AC02C0">
      <w:start w:val="1"/>
      <w:numFmt w:val="bullet"/>
      <w:lvlText w:val=""/>
      <w:lvlJc w:val="left"/>
      <w:pPr>
        <w:ind w:left="2160" w:hanging="360"/>
      </w:pPr>
      <w:rPr>
        <w:rFonts w:ascii="Wingdings" w:hAnsi="Wingdings" w:hint="default"/>
      </w:rPr>
    </w:lvl>
    <w:lvl w:ilvl="3" w:tplc="D4A4220A">
      <w:start w:val="1"/>
      <w:numFmt w:val="bullet"/>
      <w:lvlText w:val=""/>
      <w:lvlJc w:val="left"/>
      <w:pPr>
        <w:ind w:left="2880" w:hanging="360"/>
      </w:pPr>
      <w:rPr>
        <w:rFonts w:ascii="Symbol" w:hAnsi="Symbol" w:hint="default"/>
      </w:rPr>
    </w:lvl>
    <w:lvl w:ilvl="4" w:tplc="3B466FB0">
      <w:start w:val="1"/>
      <w:numFmt w:val="bullet"/>
      <w:lvlText w:val="o"/>
      <w:lvlJc w:val="left"/>
      <w:pPr>
        <w:ind w:left="3600" w:hanging="360"/>
      </w:pPr>
      <w:rPr>
        <w:rFonts w:ascii="Courier New" w:hAnsi="Courier New" w:hint="default"/>
      </w:rPr>
    </w:lvl>
    <w:lvl w:ilvl="5" w:tplc="11B81DAE">
      <w:start w:val="1"/>
      <w:numFmt w:val="bullet"/>
      <w:lvlText w:val=""/>
      <w:lvlJc w:val="left"/>
      <w:pPr>
        <w:ind w:left="4320" w:hanging="360"/>
      </w:pPr>
      <w:rPr>
        <w:rFonts w:ascii="Wingdings" w:hAnsi="Wingdings" w:hint="default"/>
      </w:rPr>
    </w:lvl>
    <w:lvl w:ilvl="6" w:tplc="127A1C28">
      <w:start w:val="1"/>
      <w:numFmt w:val="bullet"/>
      <w:lvlText w:val=""/>
      <w:lvlJc w:val="left"/>
      <w:pPr>
        <w:ind w:left="5040" w:hanging="360"/>
      </w:pPr>
      <w:rPr>
        <w:rFonts w:ascii="Symbol" w:hAnsi="Symbol" w:hint="default"/>
      </w:rPr>
    </w:lvl>
    <w:lvl w:ilvl="7" w:tplc="95E60C10">
      <w:start w:val="1"/>
      <w:numFmt w:val="bullet"/>
      <w:lvlText w:val="o"/>
      <w:lvlJc w:val="left"/>
      <w:pPr>
        <w:ind w:left="5760" w:hanging="360"/>
      </w:pPr>
      <w:rPr>
        <w:rFonts w:ascii="Courier New" w:hAnsi="Courier New" w:hint="default"/>
      </w:rPr>
    </w:lvl>
    <w:lvl w:ilvl="8" w:tplc="0CA8FE44">
      <w:start w:val="1"/>
      <w:numFmt w:val="bullet"/>
      <w:lvlText w:val=""/>
      <w:lvlJc w:val="left"/>
      <w:pPr>
        <w:ind w:left="6480" w:hanging="360"/>
      </w:pPr>
      <w:rPr>
        <w:rFonts w:ascii="Wingdings" w:hAnsi="Wingdings" w:hint="default"/>
      </w:rPr>
    </w:lvl>
  </w:abstractNum>
  <w:abstractNum w:abstractNumId="2" w15:restartNumberingAfterBreak="0">
    <w:nsid w:val="5D434147"/>
    <w:multiLevelType w:val="hybridMultilevel"/>
    <w:tmpl w:val="4A9E1000"/>
    <w:lvl w:ilvl="0" w:tplc="463A94C4">
      <w:start w:val="1"/>
      <w:numFmt w:val="bullet"/>
      <w:lvlText w:val=""/>
      <w:lvlJc w:val="left"/>
      <w:pPr>
        <w:ind w:left="720" w:hanging="360"/>
      </w:pPr>
      <w:rPr>
        <w:rFonts w:ascii="Symbol" w:hAnsi="Symbol" w:hint="default"/>
      </w:rPr>
    </w:lvl>
    <w:lvl w:ilvl="1" w:tplc="8662068A">
      <w:start w:val="1"/>
      <w:numFmt w:val="bullet"/>
      <w:lvlText w:val="o"/>
      <w:lvlJc w:val="left"/>
      <w:pPr>
        <w:ind w:left="1440" w:hanging="360"/>
      </w:pPr>
      <w:rPr>
        <w:rFonts w:ascii="Courier New" w:hAnsi="Courier New" w:hint="default"/>
      </w:rPr>
    </w:lvl>
    <w:lvl w:ilvl="2" w:tplc="1EA270AA">
      <w:start w:val="1"/>
      <w:numFmt w:val="bullet"/>
      <w:lvlText w:val=""/>
      <w:lvlJc w:val="left"/>
      <w:pPr>
        <w:ind w:left="2160" w:hanging="360"/>
      </w:pPr>
      <w:rPr>
        <w:rFonts w:ascii="Wingdings" w:hAnsi="Wingdings" w:hint="default"/>
      </w:rPr>
    </w:lvl>
    <w:lvl w:ilvl="3" w:tplc="AE7AF2BC">
      <w:start w:val="1"/>
      <w:numFmt w:val="bullet"/>
      <w:lvlText w:val=""/>
      <w:lvlJc w:val="left"/>
      <w:pPr>
        <w:ind w:left="2880" w:hanging="360"/>
      </w:pPr>
      <w:rPr>
        <w:rFonts w:ascii="Symbol" w:hAnsi="Symbol" w:hint="default"/>
      </w:rPr>
    </w:lvl>
    <w:lvl w:ilvl="4" w:tplc="D432FCDE">
      <w:start w:val="1"/>
      <w:numFmt w:val="bullet"/>
      <w:lvlText w:val="o"/>
      <w:lvlJc w:val="left"/>
      <w:pPr>
        <w:ind w:left="3600" w:hanging="360"/>
      </w:pPr>
      <w:rPr>
        <w:rFonts w:ascii="Courier New" w:hAnsi="Courier New" w:hint="default"/>
      </w:rPr>
    </w:lvl>
    <w:lvl w:ilvl="5" w:tplc="92508A86">
      <w:start w:val="1"/>
      <w:numFmt w:val="bullet"/>
      <w:lvlText w:val=""/>
      <w:lvlJc w:val="left"/>
      <w:pPr>
        <w:ind w:left="4320" w:hanging="360"/>
      </w:pPr>
      <w:rPr>
        <w:rFonts w:ascii="Wingdings" w:hAnsi="Wingdings" w:hint="default"/>
      </w:rPr>
    </w:lvl>
    <w:lvl w:ilvl="6" w:tplc="AB848824">
      <w:start w:val="1"/>
      <w:numFmt w:val="bullet"/>
      <w:lvlText w:val=""/>
      <w:lvlJc w:val="left"/>
      <w:pPr>
        <w:ind w:left="5040" w:hanging="360"/>
      </w:pPr>
      <w:rPr>
        <w:rFonts w:ascii="Symbol" w:hAnsi="Symbol" w:hint="default"/>
      </w:rPr>
    </w:lvl>
    <w:lvl w:ilvl="7" w:tplc="5686EA36">
      <w:start w:val="1"/>
      <w:numFmt w:val="bullet"/>
      <w:lvlText w:val="o"/>
      <w:lvlJc w:val="left"/>
      <w:pPr>
        <w:ind w:left="5760" w:hanging="360"/>
      </w:pPr>
      <w:rPr>
        <w:rFonts w:ascii="Courier New" w:hAnsi="Courier New" w:hint="default"/>
      </w:rPr>
    </w:lvl>
    <w:lvl w:ilvl="8" w:tplc="DFCAC9FE">
      <w:start w:val="1"/>
      <w:numFmt w:val="bullet"/>
      <w:lvlText w:val=""/>
      <w:lvlJc w:val="left"/>
      <w:pPr>
        <w:ind w:left="6480" w:hanging="360"/>
      </w:pPr>
      <w:rPr>
        <w:rFonts w:ascii="Wingdings" w:hAnsi="Wingdings" w:hint="default"/>
      </w:rPr>
    </w:lvl>
  </w:abstractNum>
  <w:abstractNum w:abstractNumId="3" w15:restartNumberingAfterBreak="0">
    <w:nsid w:val="74E4012A"/>
    <w:multiLevelType w:val="hybridMultilevel"/>
    <w:tmpl w:val="1A12731C"/>
    <w:lvl w:ilvl="0" w:tplc="52202C80">
      <w:start w:val="1"/>
      <w:numFmt w:val="bullet"/>
      <w:lvlText w:val=""/>
      <w:lvlJc w:val="left"/>
      <w:pPr>
        <w:ind w:left="720" w:hanging="360"/>
      </w:pPr>
      <w:rPr>
        <w:rFonts w:ascii="Symbol" w:hAnsi="Symbol" w:hint="default"/>
      </w:rPr>
    </w:lvl>
    <w:lvl w:ilvl="1" w:tplc="9224D2C6">
      <w:start w:val="1"/>
      <w:numFmt w:val="bullet"/>
      <w:lvlText w:val="o"/>
      <w:lvlJc w:val="left"/>
      <w:pPr>
        <w:ind w:left="1440" w:hanging="360"/>
      </w:pPr>
      <w:rPr>
        <w:rFonts w:ascii="Courier New" w:hAnsi="Courier New" w:hint="default"/>
      </w:rPr>
    </w:lvl>
    <w:lvl w:ilvl="2" w:tplc="AC96A470">
      <w:start w:val="1"/>
      <w:numFmt w:val="bullet"/>
      <w:lvlText w:val=""/>
      <w:lvlJc w:val="left"/>
      <w:pPr>
        <w:ind w:left="2160" w:hanging="360"/>
      </w:pPr>
      <w:rPr>
        <w:rFonts w:ascii="Wingdings" w:hAnsi="Wingdings" w:hint="default"/>
      </w:rPr>
    </w:lvl>
    <w:lvl w:ilvl="3" w:tplc="E27C5C32">
      <w:start w:val="1"/>
      <w:numFmt w:val="bullet"/>
      <w:lvlText w:val=""/>
      <w:lvlJc w:val="left"/>
      <w:pPr>
        <w:ind w:left="2880" w:hanging="360"/>
      </w:pPr>
      <w:rPr>
        <w:rFonts w:ascii="Symbol" w:hAnsi="Symbol" w:hint="default"/>
      </w:rPr>
    </w:lvl>
    <w:lvl w:ilvl="4" w:tplc="7AE8A156">
      <w:start w:val="1"/>
      <w:numFmt w:val="bullet"/>
      <w:lvlText w:val="o"/>
      <w:lvlJc w:val="left"/>
      <w:pPr>
        <w:ind w:left="3600" w:hanging="360"/>
      </w:pPr>
      <w:rPr>
        <w:rFonts w:ascii="Courier New" w:hAnsi="Courier New" w:hint="default"/>
      </w:rPr>
    </w:lvl>
    <w:lvl w:ilvl="5" w:tplc="05E47F10">
      <w:start w:val="1"/>
      <w:numFmt w:val="bullet"/>
      <w:lvlText w:val=""/>
      <w:lvlJc w:val="left"/>
      <w:pPr>
        <w:ind w:left="4320" w:hanging="360"/>
      </w:pPr>
      <w:rPr>
        <w:rFonts w:ascii="Wingdings" w:hAnsi="Wingdings" w:hint="default"/>
      </w:rPr>
    </w:lvl>
    <w:lvl w:ilvl="6" w:tplc="EE340A76">
      <w:start w:val="1"/>
      <w:numFmt w:val="bullet"/>
      <w:lvlText w:val=""/>
      <w:lvlJc w:val="left"/>
      <w:pPr>
        <w:ind w:left="5040" w:hanging="360"/>
      </w:pPr>
      <w:rPr>
        <w:rFonts w:ascii="Symbol" w:hAnsi="Symbol" w:hint="default"/>
      </w:rPr>
    </w:lvl>
    <w:lvl w:ilvl="7" w:tplc="9536B426">
      <w:start w:val="1"/>
      <w:numFmt w:val="bullet"/>
      <w:lvlText w:val="o"/>
      <w:lvlJc w:val="left"/>
      <w:pPr>
        <w:ind w:left="5760" w:hanging="360"/>
      </w:pPr>
      <w:rPr>
        <w:rFonts w:ascii="Courier New" w:hAnsi="Courier New" w:hint="default"/>
      </w:rPr>
    </w:lvl>
    <w:lvl w:ilvl="8" w:tplc="C3B0E988">
      <w:start w:val="1"/>
      <w:numFmt w:val="bullet"/>
      <w:lvlText w:val=""/>
      <w:lvlJc w:val="left"/>
      <w:pPr>
        <w:ind w:left="6480" w:hanging="360"/>
      </w:pPr>
      <w:rPr>
        <w:rFonts w:ascii="Wingdings" w:hAnsi="Wingdings" w:hint="default"/>
      </w:rPr>
    </w:lvl>
  </w:abstractNum>
  <w:num w:numId="1" w16cid:durableId="284969465">
    <w:abstractNumId w:val="0"/>
  </w:num>
  <w:num w:numId="2" w16cid:durableId="764767694">
    <w:abstractNumId w:val="1"/>
  </w:num>
  <w:num w:numId="3" w16cid:durableId="1283876918">
    <w:abstractNumId w:val="3"/>
  </w:num>
  <w:num w:numId="4" w16cid:durableId="1569147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A0BD37"/>
    <w:rsid w:val="0036C4B2"/>
    <w:rsid w:val="00CF092D"/>
    <w:rsid w:val="00F30727"/>
    <w:rsid w:val="0171DF2F"/>
    <w:rsid w:val="019AB1C0"/>
    <w:rsid w:val="034DA5E4"/>
    <w:rsid w:val="04EB9D67"/>
    <w:rsid w:val="05B0D271"/>
    <w:rsid w:val="05F153B2"/>
    <w:rsid w:val="062F0EAE"/>
    <w:rsid w:val="06F2248F"/>
    <w:rsid w:val="0A50B91F"/>
    <w:rsid w:val="0C456780"/>
    <w:rsid w:val="0C564030"/>
    <w:rsid w:val="0D8DED8A"/>
    <w:rsid w:val="1081AB08"/>
    <w:rsid w:val="1096E1B8"/>
    <w:rsid w:val="11978277"/>
    <w:rsid w:val="1214C578"/>
    <w:rsid w:val="12D78A77"/>
    <w:rsid w:val="1356E9E6"/>
    <w:rsid w:val="13B7DC58"/>
    <w:rsid w:val="13FBA06F"/>
    <w:rsid w:val="1405E4FB"/>
    <w:rsid w:val="14A4B805"/>
    <w:rsid w:val="14C1F736"/>
    <w:rsid w:val="1524477E"/>
    <w:rsid w:val="173987A5"/>
    <w:rsid w:val="1A01F436"/>
    <w:rsid w:val="1A4B5090"/>
    <w:rsid w:val="1FBA282B"/>
    <w:rsid w:val="20A9D449"/>
    <w:rsid w:val="20CEE270"/>
    <w:rsid w:val="20E19645"/>
    <w:rsid w:val="20EDE478"/>
    <w:rsid w:val="2119C128"/>
    <w:rsid w:val="223BEBD1"/>
    <w:rsid w:val="22428E0F"/>
    <w:rsid w:val="228CC938"/>
    <w:rsid w:val="22C88A18"/>
    <w:rsid w:val="237320CE"/>
    <w:rsid w:val="2594D54E"/>
    <w:rsid w:val="259B1651"/>
    <w:rsid w:val="2896B6D5"/>
    <w:rsid w:val="28A7DA3A"/>
    <w:rsid w:val="2B44BA39"/>
    <w:rsid w:val="2B566F3D"/>
    <w:rsid w:val="2BE17EE9"/>
    <w:rsid w:val="2C542F47"/>
    <w:rsid w:val="2D1271A3"/>
    <w:rsid w:val="2D9A33E3"/>
    <w:rsid w:val="2DEF279F"/>
    <w:rsid w:val="2EBA6B63"/>
    <w:rsid w:val="2F68AB16"/>
    <w:rsid w:val="304D0F41"/>
    <w:rsid w:val="310176A2"/>
    <w:rsid w:val="310EAE8A"/>
    <w:rsid w:val="314BDCE2"/>
    <w:rsid w:val="32C16DFF"/>
    <w:rsid w:val="336FC4AB"/>
    <w:rsid w:val="337E6783"/>
    <w:rsid w:val="33E2B6AB"/>
    <w:rsid w:val="33EE5C4F"/>
    <w:rsid w:val="341D5A45"/>
    <w:rsid w:val="34DFBE10"/>
    <w:rsid w:val="3595D164"/>
    <w:rsid w:val="35EDFA9F"/>
    <w:rsid w:val="366314B9"/>
    <w:rsid w:val="36646B15"/>
    <w:rsid w:val="36DDAF9F"/>
    <w:rsid w:val="384A267E"/>
    <w:rsid w:val="388934D9"/>
    <w:rsid w:val="38C92895"/>
    <w:rsid w:val="3A5A1FE7"/>
    <w:rsid w:val="3D55E962"/>
    <w:rsid w:val="3D586B9C"/>
    <w:rsid w:val="3E358763"/>
    <w:rsid w:val="3FDC4A65"/>
    <w:rsid w:val="40240F51"/>
    <w:rsid w:val="41076E24"/>
    <w:rsid w:val="41B3D9F5"/>
    <w:rsid w:val="4237E0CA"/>
    <w:rsid w:val="42762012"/>
    <w:rsid w:val="471AA52D"/>
    <w:rsid w:val="477C38C7"/>
    <w:rsid w:val="49F5540E"/>
    <w:rsid w:val="4B52B189"/>
    <w:rsid w:val="4D30CD7D"/>
    <w:rsid w:val="4DDB6796"/>
    <w:rsid w:val="4EF3B51E"/>
    <w:rsid w:val="4F185F03"/>
    <w:rsid w:val="4F66B990"/>
    <w:rsid w:val="501CA535"/>
    <w:rsid w:val="509D5CAC"/>
    <w:rsid w:val="5308996C"/>
    <w:rsid w:val="536BA20F"/>
    <w:rsid w:val="53DBD1B3"/>
    <w:rsid w:val="54431C52"/>
    <w:rsid w:val="549E32DD"/>
    <w:rsid w:val="54B027A8"/>
    <w:rsid w:val="5542DC06"/>
    <w:rsid w:val="555C915D"/>
    <w:rsid w:val="559EA1BE"/>
    <w:rsid w:val="55A5417C"/>
    <w:rsid w:val="55BAA6B7"/>
    <w:rsid w:val="56E25542"/>
    <w:rsid w:val="57F22601"/>
    <w:rsid w:val="5975B29D"/>
    <w:rsid w:val="5BE84FFD"/>
    <w:rsid w:val="5C0DC8AC"/>
    <w:rsid w:val="5D82DA8B"/>
    <w:rsid w:val="5DA0BD37"/>
    <w:rsid w:val="5DC3B172"/>
    <w:rsid w:val="6029A182"/>
    <w:rsid w:val="60BECB97"/>
    <w:rsid w:val="61B42AA3"/>
    <w:rsid w:val="63FFE382"/>
    <w:rsid w:val="644554C2"/>
    <w:rsid w:val="644F24B1"/>
    <w:rsid w:val="64842652"/>
    <w:rsid w:val="6559AECD"/>
    <w:rsid w:val="65A7D4AB"/>
    <w:rsid w:val="65E4800E"/>
    <w:rsid w:val="672BBDC7"/>
    <w:rsid w:val="6834CB9B"/>
    <w:rsid w:val="684A7180"/>
    <w:rsid w:val="69DA4418"/>
    <w:rsid w:val="6C05EB26"/>
    <w:rsid w:val="6D2246D5"/>
    <w:rsid w:val="6E6FC234"/>
    <w:rsid w:val="70F4EA47"/>
    <w:rsid w:val="71BE1CD0"/>
    <w:rsid w:val="720E135B"/>
    <w:rsid w:val="72B8D9C5"/>
    <w:rsid w:val="72C587B2"/>
    <w:rsid w:val="73AE5938"/>
    <w:rsid w:val="76F85F9E"/>
    <w:rsid w:val="7732FA36"/>
    <w:rsid w:val="794AD0D7"/>
    <w:rsid w:val="7B3EC23E"/>
    <w:rsid w:val="7C19636D"/>
    <w:rsid w:val="7C1BFCC4"/>
    <w:rsid w:val="7CDF2707"/>
    <w:rsid w:val="7D37517E"/>
    <w:rsid w:val="7DCF0382"/>
    <w:rsid w:val="7E3ECE6E"/>
    <w:rsid w:val="7EF453BF"/>
    <w:rsid w:val="7F1D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BD37"/>
  <w15:chartTrackingRefBased/>
  <w15:docId w15:val="{5BD43585-AA28-44CF-A530-A309E2B0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30727"/>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apple-tab-span">
    <w:name w:val="apple-tab-span"/>
    <w:basedOn w:val="DefaultParagraphFont"/>
    <w:rsid w:val="00F3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6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Jain</dc:creator>
  <cp:keywords/>
  <dc:description/>
  <cp:lastModifiedBy>Aryan Chaturvedi</cp:lastModifiedBy>
  <cp:revision>2</cp:revision>
  <dcterms:created xsi:type="dcterms:W3CDTF">2024-05-06T12:05:00Z</dcterms:created>
  <dcterms:modified xsi:type="dcterms:W3CDTF">2024-05-06T12:05:00Z</dcterms:modified>
</cp:coreProperties>
</file>