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Scott,</w:t>
      </w:r>
    </w:p>
    <w:p/>
    <w:p>
      <w:r>
        <w:t>Attached is the competitive landscape for 3x/4x/5x filings across all issuers we track (194 trusts, SEC EDGAR data).</w:t>
      </w:r>
    </w:p>
    <w:p/>
    <w:p>
      <w:r>
        <w:rPr>
          <w:b/>
        </w:rPr>
        <w:t>Quick numbers:</w:t>
      </w:r>
    </w:p>
    <w:p>
      <w:pPr>
        <w:pStyle w:val="ListBullet"/>
      </w:pPr>
      <w:r>
        <w:rPr>
          <w:b/>
        </w:rPr>
        <w:t>3x:</w:t>
      </w:r>
      <w:r>
        <w:t xml:space="preserve"> 164 names filed across 9 issuers</w:t>
      </w:r>
    </w:p>
    <w:p>
      <w:pPr>
        <w:pStyle w:val="ListBullet"/>
      </w:pPr>
      <w:r>
        <w:rPr>
          <w:b/>
        </w:rPr>
        <w:t>4x:</w:t>
      </w:r>
      <w:r>
        <w:t xml:space="preserve"> 77 names filed across 5 issuers</w:t>
      </w:r>
    </w:p>
    <w:p>
      <w:pPr>
        <w:pStyle w:val="ListBullet"/>
      </w:pPr>
      <w:r>
        <w:rPr>
          <w:b/>
        </w:rPr>
        <w:t>5x:</w:t>
      </w:r>
      <w:r>
        <w:t xml:space="preserve"> 39 names filed by 1 issuer (Volatility Shares)</w:t>
      </w:r>
    </w:p>
    <w:p>
      <w:pPr>
        <w:pStyle w:val="ListBullet"/>
      </w:pPr>
      <w:r>
        <w:rPr>
          <w:b/>
        </w:rPr>
        <w:t>T-REX exclusive:</w:t>
      </w:r>
      <w:r>
        <w:t xml:space="preserve"> 17 names no one else has filed (7 at 3x, all 10 at 4x)</w:t>
      </w:r>
    </w:p>
    <w:p/>
    <w:p>
      <w:r>
        <w:t>The Excel has 6 tabs -- Summary, 3x, 4x, 5x, REX Only, and Missing (names others have that we don't). T-REX column is highlighted green throughout.</w:t>
      </w:r>
    </w:p>
    <w:p/>
    <w:p>
      <w:r>
        <w:t>Let me know if you want me to cut this differently.</w:t>
      </w:r>
    </w:p>
    <w:p/>
    <w:p>
      <w:r>
        <w:t>Ryu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