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REX Asia Report - Feb 2026 Data Notes</w:t>
      </w:r>
    </w:p>
    <w:p>
      <w:pPr>
        <w:pStyle w:val="Heading1"/>
      </w:pPr>
      <w:r>
        <w:rPr>
          <w:color w:val="000000"/>
        </w:rPr>
        <w:t>Methodology</w:t>
      </w:r>
    </w:p>
    <w:p>
      <w:pPr>
        <w:pStyle w:val="ListBullet"/>
      </w:pPr>
      <w:r>
        <w:t>Asia AUM sourced from broker reports (Grace Tse) covering 16 exchanges across 7 markets</w:t>
      </w:r>
    </w:p>
    <w:p>
      <w:pPr>
        <w:pStyle w:val="ListBullet"/>
      </w:pPr>
      <w:r>
        <w:t>Global AUM sourced from Bloomberg daily file (data_aum for ETFs, microsector sheet for ETNs)</w:t>
      </w:r>
    </w:p>
    <w:p>
      <w:pPr>
        <w:pStyle w:val="ListBullet"/>
      </w:pPr>
      <w:r>
        <w:t>Quarterly reporters (Futu/MooMoo, Oriental Harbour) are repriced using fund-proportional scaling between reports</w:t>
      </w:r>
    </w:p>
    <w:p>
      <w:pPr>
        <w:pStyle w:val="ListBullet"/>
      </w:pPr>
      <w:r>
        <w:t>Flows estimated as: Dollar Change minus Market Move, where Market Move = Prior Asia AUM x Global MoM</w:t>
      </w:r>
    </w:p>
    <w:p>
      <w:pPr>
        <w:pStyle w:val="Heading1"/>
      </w:pPr>
      <w:r>
        <w:rPr>
          <w:color w:val="000000"/>
        </w:rPr>
        <w:t>Key Differences vs Grace</w:t>
      </w:r>
    </w:p>
    <w:p>
      <w:pPr>
        <w:pStyle w:val="ListBullet"/>
      </w:pPr>
      <w:r>
        <w:t>Report total $1,320M vs Grace $1,388M - difference is $68M from repricing quarterly carry-forwards</w:t>
      </w:r>
    </w:p>
    <w:p>
      <w:pPr>
        <w:pStyle w:val="ListBullet"/>
      </w:pPr>
      <w:r>
        <w:t>All reported (non-quarterly) sources match Grace exactly</w:t>
      </w:r>
    </w:p>
    <w:p>
      <w:pPr>
        <w:pStyle w:val="Heading1"/>
      </w:pPr>
      <w:r>
        <w:rPr>
          <w:color w:val="000000"/>
        </w:rPr>
        <w:t>March - Quarterly Data</w:t>
      </w:r>
    </w:p>
    <w:p>
      <w:pPr>
        <w:pStyle w:val="ListBullet"/>
      </w:pPr>
      <w:r>
        <w:t>Q1 2026 reports (Futu, Oriental Harbour, ViewTrade) will replace ~$240M of repriced estimates with actuals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