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REX Asia Report - What Went Wrong</w:t>
      </w:r>
    </w:p>
    <w:p>
      <w:pPr>
        <w:pStyle w:val="Heading1"/>
      </w:pPr>
      <w:r>
        <w:rPr>
          <w:color w:val="000000"/>
        </w:rPr>
        <w:t>Root Causes</w:t>
      </w:r>
    </w:p>
    <w:p>
      <w:pPr>
        <w:pStyle w:val="ListBullet"/>
      </w:pPr>
      <w:r>
        <w:t>Sean's database only stored global AUM for funds with Asia positions (84 of 93 REX ETPs). Total REX AUM was understated by ~$190M, inflating the "% of AUM in Asia" from 19.6% to 20.2%.</w:t>
      </w:r>
    </w:p>
    <w:p>
      <w:pPr>
        <w:pStyle w:val="ListBullet"/>
      </w:pPr>
      <w:r>
        <w:t>Sean's global AUM values did not match Bloomberg. 259 fund-month combinations were wrong (some by 2-80x), with ETN values consistently incorrect. These fed directly into the flow/market move calculation, producing wrong splits for nearly every fund.</w:t>
      </w:r>
    </w:p>
    <w:p>
      <w:pPr>
        <w:pStyle w:val="ListBullet"/>
      </w:pPr>
      <w:r>
        <w:t>Sean's price data had 221 mismatches vs Bloomberg. Prices drive the repricing formula for quarterly reporters (18% of total Asia AUM), meaning repriced positions were also affected.</w:t>
      </w:r>
    </w:p>
    <w:p>
      <w:pPr>
        <w:pStyle w:val="ListBullet"/>
      </w:pPr>
      <w:r>
        <w:t>Seven database views computed aggregated metrics using only Asia-active funds in the denominator. Any query through these views produced deflated percentages and distorted flow estimates. These views have been quarantined.</w:t>
      </w:r>
    </w:p>
    <w:p>
      <w:pPr>
        <w:pStyle w:val="ListBullet"/>
      </w:pPr>
      <w:r>
        <w:t>All derived values (flows, market move, MoM, suite KPIs, chart data) were hardcoded in the report HTML and copied between versions. When the underlying database was corrected, the report values were never recalculated.</w:t>
      </w:r>
    </w:p>
    <w:p>
      <w:pPr>
        <w:pStyle w:val="Heading1"/>
      </w:pPr>
      <w:r>
        <w:rPr>
          <w:color w:val="000000"/>
        </w:rPr>
        <w:t>Resolution</w:t>
      </w:r>
    </w:p>
    <w:p>
      <w:pPr>
        <w:pStyle w:val="ListBullet"/>
      </w:pPr>
      <w:r>
        <w:t>Rebuilt etp_monthly_fund from Bloomberg daily file (data_aum for ETFs, microsector for ETNs, data_price for prices) for all 13 months. Zero mismatches vs Bloomberg after rebuild.</w:t>
      </w:r>
    </w:p>
    <w:p>
      <w:pPr>
        <w:pStyle w:val="ListBullet"/>
      </w:pPr>
      <w:r>
        <w:t>All report values now recalculated from the corrected database. Verified via automated audit: 84/84 fund AUM, flows, MoM match; 13/13 timeline months match; flow balances verified; cross-checked against Grace source data and Seamus daily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