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120" w:line="480"/>
        <w:jc w:val="center"/>
      </w:pPr>
      <w:r>
        <w:rPr>
          <w:rFonts w:ascii="Times New Roman" w:cs="Times New Roman" w:eastAsia="Times New Roman" w:hAnsi="Times New Roman"/>
          <w:b/>
          <w:bCs/>
          <w:color w:val="2E75B6"/>
          <w:sz w:val="32"/>
          <w:szCs w:val="32"/>
        </w:rPr>
        <w:t xml:space="preserve">Introduction to Database Systems</w:t>
      </w:r>
    </w:p>
    <w:p>
      <w:pPr>
        <w:spacing w:after="80" w:line="480"/>
        <w:jc w:val="center"/>
      </w:pPr>
      <w:r>
        <w:rPr>
          <w:rFonts w:ascii="Times New Roman" w:cs="Times New Roman" w:eastAsia="Times New Roman" w:hAnsi="Times New Roman"/>
          <w:b w:val="false"/>
          <w:bCs w:val="false"/>
          <w:color w:val="444444"/>
          <w:sz w:val="28"/>
          <w:szCs w:val="28"/>
        </w:rPr>
        <w:t xml:space="preserve">Initial Project Report</w:t>
      </w:r>
    </w:p>
    <w:p>
      <w:pPr>
        <w:spacing w:line="480"/>
      </w:pPr>
      <w:r>
        <w:rPr>
          <w:rFonts w:ascii="Times New Roman" w:cs="Times New Roman" w:eastAsia="Times New Roman" w:hAnsi="Times New Roman"/>
          <w:sz w:val="24"/>
          <w:szCs w:val="24"/>
        </w:rPr>
        <w:t xml:space="preserve"/>
      </w:r>
    </w:p>
    <w:p>
      <w:pPr>
        <w:spacing w:after="40" w:line="480"/>
        <w:jc w:val="center"/>
      </w:pPr>
      <w:r>
        <w:rPr>
          <w:rFonts w:ascii="Times New Roman" w:cs="Times New Roman" w:eastAsia="Times New Roman" w:hAnsi="Times New Roman"/>
          <w:b/>
          <w:bCs/>
          <w:color w:val="1F3864"/>
          <w:sz w:val="36"/>
          <w:szCs w:val="36"/>
        </w:rPr>
        <w:t xml:space="preserve">Fraud Detection System</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Group Members</w:t>
            </w:r>
          </w:p>
        </w:tc>
        <w:tc>
          <w:tcPr>
            <w:tcW w:type="dxa" w:w="4400"/>
            <w:tcBorders>
              <w:top w:val="single" w:color="AAAAAA" w:sz="1"/>
              <w:left w:val="single" w:color="AAAAAA" w:sz="1"/>
              <w:bottom w:val="single" w:color="AAAAAA" w:sz="1"/>
              <w:right w:val="single" w:color="AAAAAA" w:sz="1"/>
            </w:tcBorders>
            <w:shd w:fill="F0F6FB" w:val="clear"/>
            <w:tcMar>
              <w:top w:type="dxa" w:w="100"/>
              <w:left w:type="dxa" w:w="150"/>
              <w:bottom w:type="dxa" w:w="100"/>
              <w:right w:type="dxa" w:w="150"/>
            </w:tcMar>
          </w:tcPr>
          <w:p>
            <w:r>
              <w:rPr>
                <w:rFonts w:ascii="Times New Roman" w:cs="Times New Roman" w:eastAsia="Times New Roman" w:hAnsi="Times New Roman"/>
                <w:sz w:val="24"/>
                <w:szCs w:val="24"/>
              </w:rPr>
              <w:t xml:space="preserve">Amin Zaidi</w:t>
            </w:r>
          </w:p>
          <w:p>
            <w:r>
              <w:rPr>
                <w:rFonts w:ascii="Times New Roman" w:cs="Times New Roman" w:eastAsia="Times New Roman" w:hAnsi="Times New Roman"/>
                <w:sz w:val="24"/>
                <w:szCs w:val="24"/>
              </w:rPr>
              <w:t xml:space="preserve">Abubakar Faisal</w:t>
            </w:r>
          </w:p>
          <w:p>
            <w:r>
              <w:rPr>
                <w:rFonts w:ascii="Times New Roman" w:cs="Times New Roman" w:eastAsia="Times New Roman" w:hAnsi="Times New Roman"/>
                <w:sz w:val="24"/>
                <w:szCs w:val="24"/>
              </w:rPr>
              <w:t xml:space="preserve">Abdullah Shah</w:t>
            </w:r>
          </w:p>
        </w:tc>
      </w:tr>
      <w:tr>
        <w:tc>
          <w:tcPr>
            <w:tcW w:type="dxa" w:w="28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Section</w:t>
            </w:r>
          </w:p>
        </w:tc>
        <w:tc>
          <w:tcPr>
            <w:tcW w:type="dxa" w:w="4400"/>
            <w:tcBorders>
              <w:top w:val="single" w:color="AAAAAA" w:sz="1"/>
              <w:left w:val="single" w:color="AAAAAA" w:sz="1"/>
              <w:bottom w:val="single" w:color="AAAAAA" w:sz="1"/>
              <w:right w:val="single" w:color="AAAAAA" w:sz="1"/>
            </w:tcBorders>
            <w:shd w:fill="F0F6FB" w:val="clear"/>
            <w:tcMar>
              <w:top w:type="dxa" w:w="100"/>
              <w:left w:type="dxa" w:w="150"/>
              <w:bottom w:type="dxa" w:w="100"/>
              <w:right w:type="dxa" w:w="150"/>
            </w:tcMar>
          </w:tcPr>
          <w:p>
            <w:r>
              <w:rPr>
                <w:rFonts w:ascii="Times New Roman" w:cs="Times New Roman" w:eastAsia="Times New Roman" w:hAnsi="Times New Roman"/>
                <w:sz w:val="24"/>
                <w:szCs w:val="24"/>
              </w:rPr>
              <w:t xml:space="preserve">BFT-4C</w:t>
            </w:r>
          </w:p>
        </w:tc>
      </w:tr>
      <w:tr>
        <w:tc>
          <w:tcPr>
            <w:tcW w:type="dxa" w:w="28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Instructors</w:t>
            </w:r>
          </w:p>
        </w:tc>
        <w:tc>
          <w:tcPr>
            <w:tcW w:type="dxa" w:w="4400"/>
            <w:tcBorders>
              <w:top w:val="single" w:color="AAAAAA" w:sz="1"/>
              <w:left w:val="single" w:color="AAAAAA" w:sz="1"/>
              <w:bottom w:val="single" w:color="AAAAAA" w:sz="1"/>
              <w:right w:val="single" w:color="AAAAAA" w:sz="1"/>
            </w:tcBorders>
            <w:shd w:fill="F0F6FB" w:val="clear"/>
            <w:tcMar>
              <w:top w:type="dxa" w:w="100"/>
              <w:left w:type="dxa" w:w="150"/>
              <w:bottom w:type="dxa" w:w="100"/>
              <w:right w:type="dxa" w:w="150"/>
            </w:tcMar>
          </w:tcPr>
          <w:p>
            <w:r>
              <w:rPr>
                <w:rFonts w:ascii="Times New Roman" w:cs="Times New Roman" w:eastAsia="Times New Roman" w:hAnsi="Times New Roman"/>
                <w:sz w:val="24"/>
                <w:szCs w:val="24"/>
              </w:rPr>
              <w:t xml:space="preserve">Nida Aslam</w:t>
            </w:r>
          </w:p>
          <w:p>
            <w:r>
              <w:rPr>
                <w:rFonts w:ascii="Times New Roman" w:cs="Times New Roman" w:eastAsia="Times New Roman" w:hAnsi="Times New Roman"/>
                <w:sz w:val="24"/>
                <w:szCs w:val="24"/>
              </w:rPr>
              <w:t xml:space="preserve">Inzmam Haq</w:t>
            </w:r>
          </w:p>
        </w:tc>
      </w:tr>
      <w:tr>
        <w:tc>
          <w:tcPr>
            <w:tcW w:type="dxa" w:w="28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Course</w:t>
            </w:r>
          </w:p>
        </w:tc>
        <w:tc>
          <w:tcPr>
            <w:tcW w:type="dxa" w:w="4400"/>
            <w:tcBorders>
              <w:top w:val="single" w:color="AAAAAA" w:sz="1"/>
              <w:left w:val="single" w:color="AAAAAA" w:sz="1"/>
              <w:bottom w:val="single" w:color="AAAAAA" w:sz="1"/>
              <w:right w:val="single" w:color="AAAAAA" w:sz="1"/>
            </w:tcBorders>
            <w:shd w:fill="F0F6FB" w:val="clear"/>
            <w:tcMar>
              <w:top w:type="dxa" w:w="100"/>
              <w:left w:type="dxa" w:w="150"/>
              <w:bottom w:type="dxa" w:w="100"/>
              <w:right w:type="dxa" w:w="150"/>
            </w:tcMar>
          </w:tcPr>
          <w:p>
            <w:r>
              <w:rPr>
                <w:rFonts w:ascii="Times New Roman" w:cs="Times New Roman" w:eastAsia="Times New Roman" w:hAnsi="Times New Roman"/>
                <w:sz w:val="24"/>
                <w:szCs w:val="24"/>
              </w:rPr>
              <w:t xml:space="preserve">Introduction to Database Systems</w:t>
            </w:r>
          </w:p>
        </w:tc>
      </w:tr>
      <w:tr>
        <w:tc>
          <w:tcPr>
            <w:tcW w:type="dxa" w:w="28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Submission Date</w:t>
            </w:r>
          </w:p>
        </w:tc>
        <w:tc>
          <w:tcPr>
            <w:tcW w:type="dxa" w:w="4400"/>
            <w:tcBorders>
              <w:top w:val="single" w:color="AAAAAA" w:sz="1"/>
              <w:left w:val="single" w:color="AAAAAA" w:sz="1"/>
              <w:bottom w:val="single" w:color="AAAAAA" w:sz="1"/>
              <w:right w:val="single" w:color="AAAAAA" w:sz="1"/>
            </w:tcBorders>
            <w:shd w:fill="F0F6FB" w:val="clear"/>
            <w:tcMar>
              <w:top w:type="dxa" w:w="100"/>
              <w:left w:type="dxa" w:w="150"/>
              <w:bottom w:type="dxa" w:w="100"/>
              <w:right w:type="dxa" w:w="150"/>
            </w:tcMar>
          </w:tcPr>
          <w:p>
            <w:r>
              <w:rPr>
                <w:rFonts w:ascii="Times New Roman" w:cs="Times New Roman" w:eastAsia="Times New Roman" w:hAnsi="Times New Roman"/>
                <w:sz w:val="24"/>
                <w:szCs w:val="24"/>
              </w:rPr>
              <w:t xml:space="preserve">May 3, 2026</w:t>
            </w:r>
          </w:p>
        </w:tc>
      </w:tr>
    </w:tbl>
    <w:p>
      <w:r>
        <w:br w:type="page"/>
      </w:r>
    </w:p>
    <w:p>
      <w:pPr>
        <w:spacing w:after="80" w:before="160" w:line="480"/>
        <w:ind w:firstLine="0"/>
      </w:pPr>
      <w:r>
        <w:rPr>
          <w:rFonts w:ascii="Times New Roman" w:cs="Times New Roman" w:eastAsia="Times New Roman" w:hAnsi="Times New Roman"/>
          <w:b/>
          <w:bCs/>
          <w:color w:val="2E75B6"/>
          <w:sz w:val="28"/>
          <w:szCs w:val="28"/>
        </w:rPr>
        <w:t xml:space="preserve">1. Abstract</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The Fraud Detection System is a database-driven application designed to monitor, identify, and manage fraudulent financial transactions in real time. The system maintains records of customers, their associated bank accounts, and all transaction activity. It automatically evaluates each transaction against configurable detection rules and generates alerts when suspicious behavior is identified. Flagged activities are logged, reviewed, and resolved through an interactive web-based dashboard. The system also maintains a blacklist of known malicious IP addresses, devices, and merchants, and keeps a comprehensive audit trail of all database changes for accountability and forensic purposes.</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2. Domain Description</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The system operates within the financial technology (fintech) domain, specifically targeting the problem of transaction fraud in banking environments. Financial institutions process millions of transactions daily, and identifying fraudulent activity quickly is critical to protecting customer assets and maintaining trust. The Fraud Detection System provides a structured environment in which transaction data is continuously recorded and evaluated against a set of fraud detection rules.</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Once a transaction is recorded, the system applies multiple checks: it compares the transaction amount against configurable thresholds, checks whether the originating IP address, device, or merchant appears on the blacklist, and monitors for rapid successive transactions from the same account. When any of these rules are triggered, a fraud alert is automatically generated and assigned a severity level ranging from Low to Critical. Analysts can view, investigate, and resolve these alerts through a Streamlit-based web dashboard. Resolved alerts are logged with the name of the resolving analyst and timestamp. The system supports full CRUD operations on all entities and provides summary views and statistical reports for management oversight.</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3. Requirement Specifications</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The system requirements are divided into two categories: functional requirements that describe the operational capabilities of the system, and non-functional requirements that define the quality attributes the system must satisfy.</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3.1 Functional Requirements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record and store customer information, account details, and transaction records.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automatically evaluate each new transaction against all active fraud detection rules.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generate a fraud alert whenever a transaction violates a detection rule.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maintain a blacklist of malicious IP addresses, device IDs, and merchant names and block or flag any transaction matching a blacklist entry.</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Users must be able to search and filter transactions by amount, status, date, and location.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Analysts must be able to manually flag any transaction and provide a reason.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Analysts must be able to resolve fraud alerts and record who resolved them and when.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maintain a full audit log of all INSERT, UPDATE, and DELETE operations on the Accounts table.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prevent any transaction from being processed on a suspended or closed account.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provide summary views of daily fraud statistics and customer transaction history.</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3.2 Non-Functional Requirements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provide high availability and be accessible at all times via the web dashboard.</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All transaction data must be reliably stored and never lost once committed to the database.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process and evaluate new transactions quickly to enable near-real-time fraud detection.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database must be secured against unauthorized access through SQL Server Authentication.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must be scalable to accommodate growing transaction volumes without performance degradation.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All fraud alerts and audit records must be immutable once created to ensure data integrity.</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4. Assumptions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All customer accounts are assumed to have been created and verified prior to the system recording transactions. The system does not handle account registration or KYC verification.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Currency conversion is not handled by the system. Amounts are stored as recorded in whatever currency is specified by the transaction.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fraud detection rules stored in the FraudRules table are pre-configured and do not require a rule engine interface. Thresholds can be adjusted directly in the database.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blacklist is populated manually by security and compliance teams. The system does not automatically add entries to the blacklist.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The system assumes that IP addresses and device IDs submitted with each transaction are accurate and have not been spoofed.</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Email notifications and external integrations (SMS, API webhooks) are out of scope for this project phase.</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5. Entity Relationship Diagram (ERD)</w:t>
      </w:r>
    </w:p>
    <w:p>
      <w:pPr>
        <w:spacing w:after="0" w:before="0" w:line="480"/>
        <w:ind/>
        <w:jc w:val="both"/>
      </w:pPr>
      <w:r>
        <w:rPr>
          <w:rFonts w:ascii="Times New Roman" w:cs="Times New Roman" w:eastAsia="Times New Roman" w:hAnsi="Times New Roman"/>
          <w:b w:val="false"/>
          <w:bCs w:val="false"/>
          <w:i w:val="false"/>
          <w:iCs w:val="false"/>
          <w:color w:val="000000"/>
          <w:sz w:val="24"/>
          <w:szCs w:val="24"/>
        </w:rPr>
        <w:t xml:space="preserve">The ERD below represents all seven entities in the system, their attributes, primary and foreign key relationships, and the cardinality of each relationship. The diagram was generated using Mermaid.js and reflects the exact schema implemented in Microsoft SQL Server.</w:t>
      </w:r>
    </w:p>
    <w:p>
      <w:pPr>
        <w:spacing w:line="480"/>
      </w:pPr>
      <w:r>
        <w:rPr>
          <w:rFonts w:ascii="Times New Roman" w:cs="Times New Roman" w:eastAsia="Times New Roman" w:hAnsi="Times New Roman"/>
          <w:sz w:val="24"/>
          <w:szCs w:val="24"/>
        </w:rPr>
        <w:t xml:space="preserve"/>
      </w:r>
    </w:p>
    <w:p>
      <w:pPr>
        <w:spacing w:after="0" w:before="0" w:line="480"/>
        <w:ind w:firstLine="0"/>
        <w:jc w:val="center"/>
      </w:pPr>
      <w:r>
        <w:rPr>
          <w:rFonts w:ascii="Times New Roman" w:cs="Times New Roman" w:eastAsia="Times New Roman" w:hAnsi="Times New Roman"/>
          <w:b w:val="false"/>
          <w:bCs w:val="false"/>
          <w:i/>
          <w:iCs/>
          <w:color w:val="666666"/>
          <w:sz w:val="24"/>
          <w:szCs w:val="24"/>
        </w:rPr>
        <w:t xml:space="preserve">[ERD Diagram — See attached digital version included with this submission]</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6. Entities and Attributes</w:t>
      </w:r>
    </w:p>
    <w:p>
      <w:pPr>
        <w:spacing w:after="80" w:before="160" w:line="480"/>
        <w:ind w:firstLine="0"/>
      </w:pPr>
      <w:r>
        <w:rPr>
          <w:rFonts w:ascii="Times New Roman" w:cs="Times New Roman" w:eastAsia="Times New Roman" w:hAnsi="Times New Roman"/>
          <w:b/>
          <w:bCs/>
          <w:color w:val="000000"/>
          <w:sz w:val="24"/>
          <w:szCs w:val="24"/>
        </w:rPr>
        <w:t xml:space="preserve">6.1 Customers</w:t>
      </w:r>
    </w:p>
    <w:p>
      <w:pPr>
        <w:spacing w:after="0" w:before="0" w:line="480"/>
        <w:ind/>
        <w:jc w:val="both"/>
      </w:pPr>
      <w:r>
        <w:rPr>
          <w:rFonts w:ascii="Times New Roman" w:cs="Times New Roman" w:eastAsia="Times New Roman" w:hAnsi="Times New Roman"/>
          <w:b w:val="false"/>
          <w:bCs w:val="false"/>
          <w:i w:val="false"/>
          <w:iCs w:val="false"/>
          <w:color w:val="000000"/>
          <w:sz w:val="24"/>
          <w:szCs w:val="24"/>
        </w:rPr>
        <w:t xml:space="preserve">The Customers entity stores the personal information of all account holders registered in the system. CustomerID serves as the primary key and is auto-generated by the database.</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Data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CustomerID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(PK)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Auto-generated unique identifier for each customer</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FullName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Full legal name of the customer</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Email</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Unique email address used for identification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PhoneNumber</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Contact phone number</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NationalID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VARCHAR(30)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Unique national identity number</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DateOfBirth</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 of birth for age verification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Address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VARCHAR(255)</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Residential address of the customer</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CreatedAt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DATETIME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Timestamp when the account was registered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IsActive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Flag indicating whether the customer account is active</w:t>
            </w:r>
          </w:p>
        </w:tc>
      </w:tr>
    </w:tbl>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6.2 Accounts</w:t>
      </w:r>
    </w:p>
    <w:p>
      <w:pPr>
        <w:spacing w:after="0" w:before="0" w:line="480"/>
        <w:ind/>
        <w:jc w:val="both"/>
      </w:pPr>
      <w:r>
        <w:rPr>
          <w:rFonts w:ascii="Times New Roman" w:cs="Times New Roman" w:eastAsia="Times New Roman" w:hAnsi="Times New Roman"/>
          <w:b w:val="false"/>
          <w:bCs w:val="false"/>
          <w:i w:val="false"/>
          <w:iCs w:val="false"/>
          <w:color w:val="000000"/>
          <w:sz w:val="24"/>
          <w:szCs w:val="24"/>
        </w:rPr>
        <w:t xml:space="preserve">The Accounts entity represents bank accounts belonging to customers. A single customer may have multiple accounts. AccountID is the primary key and CustomerID is a foreign key referencing the Customers table.</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Data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AccountID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(PK)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Auto-generated unique identifier for each account</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CustomerID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(FK)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References the owning customer in the Customers table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AccountNumber</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Unique human-readable account number</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AccountType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Type of account: Savings, Checking, or Business</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Balance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DECIMAL(15,2)</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Current account balance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Currency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VARCHAR(5)</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Currency code (e.g. USD, PKR, GBP)</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OpenedDate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 on which the account was opened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Status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Account status: Active, Suspended, or Closed</w:t>
            </w:r>
          </w:p>
        </w:tc>
      </w:tr>
    </w:tbl>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6.3 Transactions</w:t>
      </w:r>
    </w:p>
    <w:p>
      <w:pPr>
        <w:spacing w:after="0" w:before="0" w:line="480"/>
        <w:ind/>
        <w:jc w:val="both"/>
      </w:pPr>
      <w:r>
        <w:rPr>
          <w:rFonts w:ascii="Times New Roman" w:cs="Times New Roman" w:eastAsia="Times New Roman" w:hAnsi="Times New Roman"/>
          <w:b w:val="false"/>
          <w:bCs w:val="false"/>
          <w:i w:val="false"/>
          <w:iCs w:val="false"/>
          <w:color w:val="000000"/>
          <w:sz w:val="24"/>
          <w:szCs w:val="24"/>
        </w:rPr>
        <w:t xml:space="preserve">The Transactions entity is the central table of the system. Every financial movement is recorded here. AccountID is a foreign key linking to the Accounts table. The Status field is automatically updated by triggers when fraud is detected.</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Data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TransactionID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(PK)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Auto-generated unique identifier for each transaction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AccountID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(FK)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References the account involved in the transaction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TransactionType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VARCHAR(30)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Type: Deposit, Withdrawal, Transfer, or Payment</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Amount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DECIMAL(15,2)</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Monetary value of the transaction (must be &gt; 0)</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Currency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VARCHAR(5)</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Currency in which the transaction was made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Timestamp</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DATETIME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 and time the transaction occurred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MerchantName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Name of the merchant (if applicable)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Location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Geographic location of the transaction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IPAddress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VARCHAR(50)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IP address from which the transaction originated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DeviceID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Device identifier from which the transaction was made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Status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Current status: Pending, Completed, Flagged, or Blocked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Description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VARCHAR(255)</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Optional text description of the transaction</w:t>
            </w:r>
          </w:p>
        </w:tc>
      </w:tr>
    </w:tbl>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6.4 FraudRules</w:t>
      </w:r>
    </w:p>
    <w:p>
      <w:pPr>
        <w:spacing w:after="0" w:before="0" w:line="480"/>
        <w:ind/>
        <w:jc w:val="both"/>
      </w:pPr>
      <w:r>
        <w:rPr>
          <w:rFonts w:ascii="Times New Roman" w:cs="Times New Roman" w:eastAsia="Times New Roman" w:hAnsi="Times New Roman"/>
          <w:b w:val="false"/>
          <w:bCs w:val="false"/>
          <w:i w:val="false"/>
          <w:iCs w:val="false"/>
          <w:color w:val="000000"/>
          <w:sz w:val="24"/>
          <w:szCs w:val="24"/>
        </w:rPr>
        <w:t xml:space="preserve">The FraudRules entity defines the detection logic used to identify suspicious transactions. Each rule has a threshold value and can be activated or deactivated independently.</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Data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RuleID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(PK)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Auto-generated unique identifier for each rule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RuleName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Short descriptive name of the rule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Description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VARCHAR(500)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Detailed explanation of what the rule detects</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Threshold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DECIMAL(15,2)</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Numeric threshold value triggering the rule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IsActive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Whether the rule is currently enforced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CreatedAt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DATETIME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 and time the rule was created</w:t>
            </w:r>
          </w:p>
        </w:tc>
      </w:tr>
    </w:tbl>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6.5 FraudAlerts</w:t>
      </w:r>
    </w:p>
    <w:p>
      <w:pPr>
        <w:spacing w:after="0" w:before="0" w:line="480"/>
        <w:ind/>
        <w:jc w:val="both"/>
      </w:pPr>
      <w:r>
        <w:rPr>
          <w:rFonts w:ascii="Times New Roman" w:cs="Times New Roman" w:eastAsia="Times New Roman" w:hAnsi="Times New Roman"/>
          <w:b w:val="false"/>
          <w:bCs w:val="false"/>
          <w:i w:val="false"/>
          <w:iCs w:val="false"/>
          <w:color w:val="000000"/>
          <w:sz w:val="24"/>
          <w:szCs w:val="24"/>
        </w:rPr>
        <w:t xml:space="preserve">The FraudAlerts entity stores all alerts generated by the system. Each alert is linked to the triggering transaction and the rule that caused it. Analysts resolve alerts through the dashboard.</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Data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AlertID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(PK)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Auto-generated unique identifier for each alert</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TransactionID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(FK)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References the transaction that triggered the alert</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RuleID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(FK)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References the fraud rule that was violated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AlertType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VARCHAR(50)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Category of the alert (e.g. Large Transaction)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Severity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Severity level: Low, Medium, High, or Critical</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AlertMessage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VARCHAR(500)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Human-readable description of the alert</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IsResolved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Whether the alert has been resolved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ResolvedBy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Name of the analyst who resolved the alert</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ResolvedAt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DATETIME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Timestamp when the alert was resolved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CreatedAt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DATETIME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Timestamp when the alert was generated</w:t>
            </w:r>
          </w:p>
        </w:tc>
      </w:tr>
    </w:tbl>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6.6 Blacklist</w:t>
      </w:r>
    </w:p>
    <w:p>
      <w:pPr>
        <w:spacing w:after="0" w:before="0" w:line="480"/>
        <w:ind/>
        <w:jc w:val="both"/>
      </w:pPr>
      <w:r>
        <w:rPr>
          <w:rFonts w:ascii="Times New Roman" w:cs="Times New Roman" w:eastAsia="Times New Roman" w:hAnsi="Times New Roman"/>
          <w:b w:val="false"/>
          <w:bCs w:val="false"/>
          <w:i w:val="false"/>
          <w:iCs w:val="false"/>
          <w:color w:val="000000"/>
          <w:sz w:val="24"/>
          <w:szCs w:val="24"/>
        </w:rPr>
        <w:t xml:space="preserve">The Blacklist entity stores known malicious entities. Transactions are automatically blocked or flagged when they match any active blacklist entry.</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Data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BlacklistID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(PK)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Auto-generated unique identifier</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EntityType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VARCHAR(30)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Type of entity: IPAddress, DeviceID, MerchantName, Account</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EntityValue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VARCHAR(200)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The specific value being blacklisted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Reason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VARCHAR(500)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Explanation for why this entity was blacklisted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AddedBy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Name of the team or person who added the entry</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AddedAt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DATETIME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 and time the entry was added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IsActive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BIT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Whether the blacklist entry is currently active</w:t>
            </w:r>
          </w:p>
        </w:tc>
      </w:tr>
    </w:tbl>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6.7 AuditLog</w:t>
      </w:r>
    </w:p>
    <w:p>
      <w:pPr>
        <w:spacing w:after="0" w:before="0" w:line="480"/>
        <w:ind/>
        <w:jc w:val="both"/>
      </w:pPr>
      <w:r>
        <w:rPr>
          <w:rFonts w:ascii="Times New Roman" w:cs="Times New Roman" w:eastAsia="Times New Roman" w:hAnsi="Times New Roman"/>
          <w:b w:val="false"/>
          <w:bCs w:val="false"/>
          <w:i w:val="false"/>
          <w:iCs w:val="false"/>
          <w:color w:val="000000"/>
          <w:sz w:val="24"/>
          <w:szCs w:val="24"/>
        </w:rPr>
        <w:t xml:space="preserve">The AuditLog entity automatically records changes to the Accounts table via a database trigger. It provides a tamper-evident history of all modifications for compliance and investigation purposes.</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Data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LogID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 (PK)</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Auto-generated unique identifier for each log entry</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TableName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VARCHAR(50)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Name of the table that was modified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OperationType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Type of operation: INSERT, UPDATE, or DELETE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RecordID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Primary key value of the record that was changed</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OldValue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VARCHAR(MAX)</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Previous values before the change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NewValue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VARCHAR(MAX)</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New values after the change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ChangedBy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VARCHAR(100)</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Database user who made the change</w:t>
            </w:r>
          </w:p>
        </w:tc>
      </w:tr>
      <w:tr>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ChangedAt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DATETIME</w:t>
            </w:r>
          </w:p>
        </w:tc>
        <w:tc>
          <w:tcPr>
            <w:tcW w:type="dxa" w:w="312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Timestamp of the change</w:t>
            </w:r>
          </w:p>
        </w:tc>
      </w:tr>
    </w:tbl>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7. Relationships and Labels</w:t>
      </w:r>
    </w:p>
    <w:p>
      <w:pPr>
        <w:spacing w:after="80" w:before="160" w:line="480"/>
        <w:ind w:firstLine="0"/>
      </w:pPr>
      <w:r>
        <w:rPr>
          <w:rFonts w:ascii="Times New Roman" w:cs="Times New Roman" w:eastAsia="Times New Roman" w:hAnsi="Times New Roman"/>
          <w:b/>
          <w:bCs/>
          <w:color w:val="000000"/>
          <w:sz w:val="24"/>
          <w:szCs w:val="24"/>
        </w:rPr>
        <w:t xml:space="preserve">Customer has Accounts: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 customer can have zero or many bank accounts.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Each account belongs to exactly one customer.</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Relationship: One-to-Many (Customers to Accounts).</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Account contains Transactions: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An account can have zero or many transactions recorded against it.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Each transaction is associated with exactly one account.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Relationship: One-to-Many (Accounts to Transactions).</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Transaction triggers FraudAlerts: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 single transaction can trigger zero or many fraud alerts depending on how many rules it violates.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Each fraud alert is linked to exactly one transaction.</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Relationship: One-to-Many (Transactions to FraudAlerts).</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FraudRule defines FraudAlerts: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 fraud rule can be referenced by zero or many fraud alerts over time.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Each fraud alert is generated by at most one fraud rule.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Relationship: One-to-Many (FraudRules to FraudAlerts).</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000000"/>
          <w:sz w:val="24"/>
          <w:szCs w:val="24"/>
        </w:rPr>
        <w:t xml:space="preserve">Transactions and Accounts are logged in AuditLog:</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Any modification to a Transaction or Account record generates one or more audit log entries.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Each audit log entry corresponds to one operation on one record.</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Relationship: One-to-Many (Transactions/Accounts to AuditLog).</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8. Validations (Business Rules)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Transaction Amount must be greater than zero, enforced via a CHECK constraint.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AccountType must be one of 'Savings', 'Checking', or 'Business', enforced via CHECK constraint.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Account Status must be one of 'Active', 'Suspended', or 'Closed', enforced via CHECK constraint.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Transaction Status must be one of 'Pending', 'Completed', 'Flagged', or 'Blocked', enforced via CHECK constraint.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Alert Severity must be one of 'Low', 'Medium', 'High', or 'Critical', enforced via CHECK constraint.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CustomerID and AccountNumber must be unique across the system, enforced via UNIQUE and PRIMARY KEY constraints.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Foreign key constraints ensure that every Transaction references a valid Account and every FraudAlert references a valid Transaction and FraudRule.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An INSTEAD OF INSERT trigger on the Transactions table automatically blocks transactions on Suspended or Closed accounts.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An AFTER INSERT trigger on the Transactions table automatically flags any transaction exceeding $10,000 and creates the corresponding alert.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 blacklist match check trigger automatically blocks any transaction from a blacklisted IP address, device, or merchant.</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9. Description (System Working Explanation)</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The Fraud Detection System operates as follows. When a new transaction is submitted, it is first checked by the INSTEAD OF INSERT trigger, which verifies that the associated account is active. If the account is Suspended or Closed, the transaction is inserted with a Blocked status and an explanatory note appended to the description field. No further processing occurs for blocked transactions.</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If the account is active, the transaction is inserted normally and two additional AFTER INSERT triggers fire in sequence. The first trigger checks whether the transaction amount exceeds the large-transaction threshold of $10,000. If it does, the transaction status is updated to Flagged and a new FraudAlert record is created with the appropriate severity level. The second trigger checks whether the IP address, device ID, or merchant name associated with the transaction appears in the active Blacklist table. If a match is found, the transaction is set to Blocked and a Critical-severity alert is generated.</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Analysts can view all unresolved alerts through the Active Alerts page of the Streamlit dashboard, which queries the vw_ActiveFraudAlerts view. This view joins FraudAlerts with Transactions, Accounts, and Customers to present a complete picture of each alert in a single result set. Analysts can resolve alerts directly from the dashboard by clicking the resolve button, which calls the sp_ResolveFraudAlert stored procedure and records the analyst's name and the resolution timestamp.</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The system also allows manual flagging of transactions through the Admin Tools page, which calls the sp_FlagTransaction stored procedure. This procedure updates the transaction status, creates a new alert, and writes an entry to the AuditLog table. Any change to an Account record is also automatically captured by the trg_AuditAccountUpdate trigger, which records the old and new values of the Balance and Status fields.</w:t>
      </w:r>
    </w:p>
    <w:p>
      <w:pPr>
        <w:spacing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The risk score function fn_GetRiskScore calculates a score between 0 and 100 for any account based on the number of flagged transactions, large transactions, and blacklist hits in the past 30 days. This score is displayed in the dashboard's risk score table, color-coded as Low, Medium, or High risk.</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10. Conclusion</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The Fraud Detection System provides a comprehensive, rule-based mechanism for identifying and managing fraudulent financial transactions. By combining relational database design with automated triggers, stored procedures, views, and user-defined functions, the system demonstrates the practical application of all core database concepts covered in this course. The integration of a Streamlit web dashboard makes the system accessible and usable by non-technical analysts, while the underlying SQL Server infrastructure ensures data integrity, reliability, and auditability. This project serves as a realistic simulation of the kind of fraud monitoring systems used by financial institutions worldwide.</w:t>
      </w:r>
    </w:p>
    <w:p>
      <w:pPr>
        <w:spacing w:line="480"/>
      </w:pPr>
      <w:r>
        <w:rPr>
          <w:rFonts w:ascii="Times New Roman" w:cs="Times New Roman" w:eastAsia="Times New Roman" w:hAnsi="Times New Roman"/>
          <w:sz w:val="24"/>
          <w:szCs w:val="24"/>
        </w:rPr>
        <w:t xml:space="preserve"/>
      </w:r>
    </w:p>
    <w:p>
      <w:pPr>
        <w:spacing w:after="80" w:before="160" w:line="480"/>
        <w:ind w:firstLine="0"/>
      </w:pPr>
      <w:r>
        <w:rPr>
          <w:rFonts w:ascii="Times New Roman" w:cs="Times New Roman" w:eastAsia="Times New Roman" w:hAnsi="Times New Roman"/>
          <w:b/>
          <w:bCs/>
          <w:color w:val="2E75B6"/>
          <w:sz w:val="28"/>
          <w:szCs w:val="28"/>
        </w:rPr>
        <w:t xml:space="preserve">11. Recommendations</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Implement database replication with a secondary replica to ensure high availability and prevent data loss in the event of hardware failure.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Add a machine learning scoring layer that supplements the rule-based alerts with anomaly detection models trained on historical transaction data.</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Introduce role-based access control (RBAC) within the dashboard so that different user types such as analysts, managers, and auditors have access to only the functions relevant to their role.</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Integrate real-time email or SMS notification for Critical-severity alerts so that fraud can be acted upon immediately without requiring analysts to monitor the dashboard continuously.</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Implement automated archiving of resolved alerts and completed transactions older than 12 months to a separate archive database, keeping the primary database performant.</w:t>
      </w:r>
    </w:p>
    <w:p>
      <w:pPr>
        <w:pStyle w:val="ListParagraph"/>
        <w:numPr>
          <w:ilvl w:val="0"/>
          <w:numId w:val="2"/>
        </w:numPr>
        <w:spacing w:after="0" w:before="0" w:line="480"/>
        <w:ind w:left="720" w:hanging="360"/>
      </w:pPr>
      <w:r>
        <w:rPr>
          <w:rFonts w:ascii="Times New Roman" w:cs="Times New Roman" w:eastAsia="Times New Roman" w:hAnsi="Times New Roman"/>
          <w:sz w:val="24"/>
          <w:szCs w:val="24"/>
        </w:rPr>
        <w:t xml:space="preserve">Expand the blacklist to include a confidence score and expiry date for each entry, allowing entries to be automatically deactivated after a defined period if no further suspicious activity is recorded.</w:t>
      </w:r>
    </w:p>
    <w:p>
      <w:pPr>
        <w:spacing w:line="480"/>
      </w:pPr>
      <w:r>
        <w:rPr>
          <w:rFonts w:ascii="Times New Roman" w:cs="Times New Roman" w:eastAsia="Times New Roman" w:hAnsi="Times New Roman"/>
          <w:sz w:val="24"/>
          <w:szCs w:val="2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80"/>
    </w:pPr>
    <w:r>
      <w:rPr>
        <w:rFonts w:ascii="Times New Roman" w:cs="Times New Roman" w:eastAsia="Times New Roman" w:hAnsi="Times New Roman"/>
        <w:color w:val="888888"/>
        <w:sz w:val="20"/>
        <w:szCs w:val="20"/>
      </w:rPr>
      <w:t xml:space="preserve">Initial Report | Introduction to Database Systems</w:t>
    </w:r>
    <w:r>
      <w:rPr>
        <w:rFonts w:ascii="Times New Roman" w:cs="Times New Roman" w:eastAsia="Times New Roman" w:hAnsi="Times New Roman"/>
        <w:color w:val="888888"/>
        <w:sz w:val="20"/>
        <w:szCs w:val="20"/>
      </w:rPr>
      <w:t xml:space="preserve">	Page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before="0"/>
    </w:pPr>
    <w:r>
      <w:rPr>
        <w:rFonts w:ascii="Times New Roman" w:cs="Times New Roman" w:eastAsia="Times New Roman" w:hAnsi="Times New Roman"/>
        <w:b/>
        <w:bCs/>
        <w:color w:val="2E75B6"/>
        <w:sz w:val="22"/>
        <w:szCs w:val="22"/>
      </w:rPr>
      <w:t xml:space="preserve">Fraud Detection System </w:t>
    </w:r>
    <w:r>
      <w:rPr>
        <w:rFonts w:ascii="Times New Roman" w:cs="Times New Roman" w:eastAsia="Times New Roman" w:hAnsi="Times New Roman"/>
        <w:color w:val="888888"/>
        <w:sz w:val="22"/>
        <w:szCs w:val="22"/>
      </w:rPr>
      <w:t xml:space="preserve"> | BFT-4C | Database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2026-05-03T16:34:09.219Z</dcterms:created>
  <dcterms:modified xsi:type="dcterms:W3CDTF">2026-05-03T16:34:09.219Z</dcterms:modified>
</cp:coreProperties>
</file>

<file path=docProps/custom.xml><?xml version="1.0" encoding="utf-8"?>
<Properties xmlns="http://schemas.openxmlformats.org/officeDocument/2006/custom-properties" xmlns:vt="http://schemas.openxmlformats.org/officeDocument/2006/docPropsVTypes"/>
</file>