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86a36ba38173a8b35bd6ecb35faebb899866a155.png"/>
            <a:graphic>
              <a:graphicData uri="http://schemas.openxmlformats.org/drawingml/2006/picture">
                <pic:pic>
                  <pic:nvPicPr>
                    <pic:cNvPr id="1" name="image-86a36ba38173a8b35bd6ecb35faebb899866a155.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 word file for a research paper on the same topic</w:t>
      </w:r>
    </w:p>
    <w:p>
      <w:pPr>
        <w:spacing w:line="360" w:after="210" w:lineRule="auto"/>
      </w:pPr>
      <w:r>
        <w:rPr>
          <w:rFonts w:eastAsia="inter" w:cs="inter" w:ascii="inter" w:hAnsi="inter"/>
          <w:color w:val="000000"/>
        </w:rPr>
        <w:t xml:space="preserve">Below is a structured content outline with full text suggestion for a Word document formatted like a research paper on </w:t>
      </w:r>
      <w:r>
        <w:rPr>
          <w:rFonts w:eastAsia="inter" w:cs="inter" w:ascii="inter" w:hAnsi="inter"/>
          <w:b/>
          <w:color w:val="000000"/>
        </w:rPr>
        <w:t xml:space="preserve">renewable energy storage</w:t>
      </w:r>
      <w:r>
        <w:rPr>
          <w:rFonts w:eastAsia="inter" w:cs="inter" w:ascii="inter" w:hAnsi="inter"/>
          <w:color w:val="000000"/>
        </w:rPr>
        <w:t xml:space="preserve">. This content is suitable for use as a .docx file test input for your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Renewable Energy Storage: Enabling the Clean Energy Transition</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The advancement and deployment of renewable energy storage technologies are critical in supporting the transition towards a decarbonized energy sector. This paper reviews the current state, emerging trends, and challenges in the domain of energy storage, with a focus on battery technologies, grid integration, and policy frameworks essential for large-scale adoption.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1. Introduction</w:t>
      </w:r>
    </w:p>
    <w:p>
      <w:pPr>
        <w:spacing w:line="360" w:after="210" w:lineRule="auto"/>
      </w:pPr>
      <w:r>
        <w:rPr>
          <w:rFonts w:eastAsia="inter" w:cs="inter" w:ascii="inter" w:hAnsi="inter"/>
          <w:color w:val="000000"/>
        </w:rPr>
        <w:t xml:space="preserve">The adoption of renewable energy resources such as solar and wind is accelerating globally. However, the intermittent nature of these sources creates a pressing need for reliable energy storage solutions to ensure grid stability and continuous power supply. Effective storage systems bridge the gap between energy generation and consumption, allowing for higher penetration of renewables in modern energy grids.</w:t>
      </w:r>
      <w:bookmarkStart w:id="2" w:name="fnref2:1"/>
      <w:bookmarkEnd w:id="2"/>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2. Overview of Energy Storage Technologies</w:t>
      </w:r>
    </w:p>
    <w:p>
      <w:pPr>
        <w:spacing w:line="360" w:before="315" w:after="105" w:lineRule="auto"/>
        <w:ind w:left="-30"/>
        <w:jc w:val="left"/>
      </w:pPr>
      <w:r>
        <w:rPr>
          <w:rFonts w:eastAsia="inter" w:cs="inter" w:ascii="inter" w:hAnsi="inter"/>
          <w:b/>
          <w:color w:val="000000"/>
          <w:sz w:val="24"/>
        </w:rPr>
        <w:t xml:space="preserve">2.1 Lithium-Ion Batteries</w:t>
      </w:r>
    </w:p>
    <w:p>
      <w:pPr>
        <w:spacing w:line="360" w:after="210" w:lineRule="auto"/>
      </w:pPr>
      <w:r>
        <w:rPr>
          <w:rFonts w:eastAsia="inter" w:cs="inter" w:ascii="inter" w:hAnsi="inter"/>
          <w:color w:val="000000"/>
        </w:rPr>
        <w:t xml:space="preserve">Lithium-ion batteries are widely used due to their high energy density and rapid technological improvements. They are scalable for both residential and utility-scale applications, although resource availability and recycling remain concerns.</w:t>
      </w:r>
      <w:bookmarkStart w:id="3" w:name="fnref2:2"/>
      <w:bookmarkEnd w:id="3"/>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2.2 Solid-State Batteries</w:t>
      </w:r>
    </w:p>
    <w:p>
      <w:pPr>
        <w:spacing w:line="360" w:after="210" w:lineRule="auto"/>
      </w:pPr>
      <w:r>
        <w:rPr>
          <w:rFonts w:eastAsia="inter" w:cs="inter" w:ascii="inter" w:hAnsi="inter"/>
          <w:color w:val="000000"/>
        </w:rPr>
        <w:t xml:space="preserve">Solid-state batteries offer superior safety and energy density compared to conventional lithium-ion designs. They are in the early stages of commercialization, with scalability and cost being the main challenges.</w:t>
      </w:r>
    </w:p>
    <w:p>
      <w:pPr>
        <w:spacing w:line="360" w:before="315" w:after="105" w:lineRule="auto"/>
        <w:ind w:left="-30"/>
        <w:jc w:val="left"/>
      </w:pPr>
      <w:r>
        <w:rPr>
          <w:rFonts w:eastAsia="inter" w:cs="inter" w:ascii="inter" w:hAnsi="inter"/>
          <w:b/>
          <w:color w:val="000000"/>
          <w:sz w:val="24"/>
        </w:rPr>
        <w:t xml:space="preserve">2.3 Flow Batteries</w:t>
      </w:r>
    </w:p>
    <w:p>
      <w:pPr>
        <w:spacing w:line="360" w:after="210" w:lineRule="auto"/>
      </w:pPr>
      <w:r>
        <w:rPr>
          <w:rFonts w:eastAsia="inter" w:cs="inter" w:ascii="inter" w:hAnsi="inter"/>
          <w:color w:val="000000"/>
        </w:rPr>
        <w:t xml:space="preserve">These are particularly suited for long-duration, grid-scale storage due to the separation of power and energy capacity. Flow technologies are becoming increasingly viable as costs decrease and operational experience grows.</w:t>
      </w:r>
    </w:p>
    <w:p>
      <w:pPr>
        <w:spacing w:line="360" w:before="315" w:after="105" w:lineRule="auto"/>
        <w:ind w:left="-30"/>
        <w:jc w:val="left"/>
      </w:pPr>
      <w:r>
        <w:rPr>
          <w:rFonts w:eastAsia="inter" w:cs="inter" w:ascii="inter" w:hAnsi="inter"/>
          <w:b/>
          <w:color w:val="000000"/>
          <w:sz w:val="24"/>
        </w:rPr>
        <w:t xml:space="preserve">2.4 Other Technologies</w:t>
      </w:r>
    </w:p>
    <w:p>
      <w:pPr>
        <w:spacing w:line="360" w:after="210" w:lineRule="auto"/>
      </w:pPr>
      <w:r>
        <w:rPr>
          <w:rFonts w:eastAsia="inter" w:cs="inter" w:ascii="inter" w:hAnsi="inter"/>
          <w:color w:val="000000"/>
        </w:rPr>
        <w:t xml:space="preserve">Thermal storage, pumped hydro, and emerging flywheel systems provide alternatives for specific use cases, from solar thermal plants to fast frequency response.</w:t>
      </w:r>
      <w:bookmarkStart w:id="4" w:name="fnref3"/>
      <w:bookmarkEnd w:id="4"/>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3. Trends and Future Directions</w:t>
      </w:r>
    </w:p>
    <w:p>
      <w:pPr>
        <w:numPr>
          <w:ilvl w:val="0"/>
          <w:numId w:val="1"/>
        </w:numPr>
        <w:spacing w:line="360" w:before="105" w:after="105" w:lineRule="auto"/>
      </w:pPr>
      <w:r>
        <w:rPr>
          <w:rFonts w:eastAsia="inter" w:cs="inter" w:ascii="inter" w:hAnsi="inter"/>
          <w:color w:val="000000"/>
          <w:sz w:val="21"/>
        </w:rPr>
        <w:t xml:space="preserve">The maturation of lithium-ion battery supply chains is reducing costs and expanding storage deployment globally.</w:t>
      </w:r>
    </w:p>
    <w:p>
      <w:pPr>
        <w:numPr>
          <w:ilvl w:val="0"/>
          <w:numId w:val="1"/>
        </w:numPr>
        <w:spacing w:line="360" w:before="105" w:after="105" w:lineRule="auto"/>
      </w:pPr>
      <w:r>
        <w:rPr>
          <w:rFonts w:eastAsia="inter" w:cs="inter" w:ascii="inter" w:hAnsi="inter"/>
          <w:color w:val="000000"/>
          <w:sz w:val="21"/>
        </w:rPr>
        <w:t xml:space="preserve">Policy mandates in regions like the EU and India are driving investments in grid-scale storage to support higher renewable shares.</w:t>
      </w:r>
      <w:bookmarkStart w:id="5" w:name="fnref2:3"/>
      <w:bookmarkEnd w:id="5"/>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Digital innovation, including AI-driven energy management, is optimizing storage dispatch and grid integration.</w:t>
      </w:r>
      <w:bookmarkStart w:id="6" w:name="fnref1:1"/>
      <w:bookmarkEnd w:id="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4. Case Study: India’s Energy Storage Roadmap</w:t>
      </w:r>
    </w:p>
    <w:p>
      <w:pPr>
        <w:spacing w:line="360" w:after="210" w:lineRule="auto"/>
      </w:pPr>
      <w:r>
        <w:rPr>
          <w:rFonts w:eastAsia="inter" w:cs="inter" w:ascii="inter" w:hAnsi="inter"/>
          <w:color w:val="000000"/>
        </w:rPr>
        <w:t xml:space="preserve">India’s rapid growth in renewable installations requires commensurate investment in energy storage. National strategies project a requirement of over 400 GWh storage capacity by 2032 to manage grid stability and integrate distributed solar and wind assets effectively.</w:t>
      </w:r>
      <w:bookmarkStart w:id="7" w:name="fnref2:4"/>
      <w:bookmarkEnd w:id="7"/>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5. Challenges</w:t>
      </w:r>
    </w:p>
    <w:p>
      <w:pPr>
        <w:numPr>
          <w:ilvl w:val="0"/>
          <w:numId w:val="2"/>
        </w:numPr>
        <w:spacing w:line="360" w:before="105" w:after="105" w:lineRule="auto"/>
      </w:pPr>
      <w:r>
        <w:rPr>
          <w:rFonts w:eastAsia="inter" w:cs="inter" w:ascii="inter" w:hAnsi="inter"/>
          <w:b/>
          <w:color w:val="000000"/>
          <w:sz w:val="21"/>
        </w:rPr>
        <w:t xml:space="preserve">Cost and Scalability:</w:t>
      </w:r>
      <w:r>
        <w:rPr>
          <w:rFonts w:eastAsia="inter" w:cs="inter" w:ascii="inter" w:hAnsi="inter"/>
          <w:color w:val="000000"/>
          <w:sz w:val="21"/>
        </w:rPr>
        <w:t xml:space="preserve"> Next-generation batteries and green hydrogen storage remain expensive and face manufacturing hurdles.</w:t>
      </w:r>
    </w:p>
    <w:p>
      <w:pPr>
        <w:numPr>
          <w:ilvl w:val="0"/>
          <w:numId w:val="2"/>
        </w:numPr>
        <w:spacing w:line="360" w:before="105" w:after="105" w:lineRule="auto"/>
      </w:pPr>
      <w:r>
        <w:rPr>
          <w:rFonts w:eastAsia="inter" w:cs="inter" w:ascii="inter" w:hAnsi="inter"/>
          <w:b/>
          <w:color w:val="000000"/>
          <w:sz w:val="21"/>
        </w:rPr>
        <w:t xml:space="preserve">Lifecycle and Sustainability:</w:t>
      </w:r>
      <w:r>
        <w:rPr>
          <w:rFonts w:eastAsia="inter" w:cs="inter" w:ascii="inter" w:hAnsi="inter"/>
          <w:color w:val="000000"/>
          <w:sz w:val="21"/>
        </w:rPr>
        <w:t xml:space="preserve"> Recycling, sourcing of materials like lithium and cobalt, and end-of-life management are ongoing challenges.</w:t>
      </w:r>
    </w:p>
    <w:p>
      <w:pPr>
        <w:numPr>
          <w:ilvl w:val="0"/>
          <w:numId w:val="2"/>
        </w:numPr>
        <w:spacing w:line="360" w:before="105" w:after="105" w:lineRule="auto"/>
      </w:pPr>
      <w:r>
        <w:rPr>
          <w:rFonts w:eastAsia="inter" w:cs="inter" w:ascii="inter" w:hAnsi="inter"/>
          <w:b/>
          <w:color w:val="000000"/>
          <w:sz w:val="21"/>
        </w:rPr>
        <w:t xml:space="preserve">Regulatory and Market Barriers:</w:t>
      </w:r>
      <w:r>
        <w:rPr>
          <w:rFonts w:eastAsia="inter" w:cs="inter" w:ascii="inter" w:hAnsi="inter"/>
          <w:color w:val="000000"/>
          <w:sz w:val="21"/>
        </w:rPr>
        <w:t xml:space="preserve"> Standardized frameworks and incentivized markets are required for widespread adoption.</w:t>
      </w:r>
      <w:bookmarkStart w:id="8" w:name="fnref2:5"/>
      <w:bookmarkEnd w:id="8"/>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6. Conclusion</w:t>
      </w:r>
    </w:p>
    <w:p>
      <w:pPr>
        <w:spacing w:line="360" w:after="210" w:lineRule="auto"/>
      </w:pPr>
      <w:r>
        <w:rPr>
          <w:rFonts w:eastAsia="inter" w:cs="inter" w:ascii="inter" w:hAnsi="inter"/>
          <w:color w:val="000000"/>
        </w:rPr>
        <w:t xml:space="preserve">Energy storage technologies are pivotal in the decarbonization journey and the evolution of global energy systems. Ongoing investments in R&amp;D, policy support, and cross-sector collaboration are critical to achieving large-scale, efficient integration of storage with renewable resources.</w:t>
      </w:r>
    </w:p>
    <w:p>
      <w:pPr>
        <w:spacing w:line="360" w:before="315" w:after="105" w:lineRule="auto"/>
        <w:ind w:left="-30"/>
        <w:jc w:val="left"/>
      </w:pPr>
      <w:r>
        <w:rPr>
          <w:rFonts w:eastAsia="inter" w:cs="inter" w:ascii="inter" w:hAnsi="inter"/>
          <w:b/>
          <w:color w:val="000000"/>
          <w:sz w:val="24"/>
        </w:rPr>
        <w:t xml:space="preserve">References</w:t>
      </w:r>
    </w:p>
    <w:p>
      <w:pPr>
        <w:numPr>
          <w:ilvl w:val="0"/>
          <w:numId w:val="3"/>
        </w:numPr>
        <w:spacing w:line="360" w:before="105" w:after="105" w:lineRule="auto"/>
      </w:pPr>
      <w:r>
        <w:rPr>
          <w:rFonts w:eastAsia="inter" w:cs="inter" w:ascii="inter" w:hAnsi="inter"/>
          <w:color w:val="000000"/>
          <w:sz w:val="21"/>
        </w:rPr>
        <w:t xml:space="preserve">NITI Aayog (2019-2032). Energy Storage System Roadmap for India.</w:t>
      </w:r>
      <w:bookmarkStart w:id="9" w:name="fnref4"/>
      <w:bookmarkEnd w:id="9"/>
      <w:hyperlink w:anchor="fn4">
        <w:r>
          <w:rPr>
            <w:rFonts w:eastAsia="inter" w:cs="inter" w:ascii="inter" w:hAnsi="inter"/>
            <w:color w:val="#000"/>
            <w:sz w:val="21"/>
            <w:u w:val="single"/>
            <w:vertAlign w:val="superscript"/>
          </w:rPr>
          <w:t xml:space="preserve">[4]</w:t>
        </w:r>
      </w:hyperlink>
      <w:bookmarkStart w:id="10" w:name="fnref2:6"/>
      <w:bookmarkEnd w:id="10"/>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color w:val="000000"/>
          <w:sz w:val="21"/>
        </w:rPr>
        <w:t xml:space="preserve">ScienceDirect, “Storage solutions for renewable energy: A review”.</w:t>
      </w:r>
      <w:bookmarkStart w:id="11" w:name="fnref5"/>
      <w:bookmarkEnd w:id="11"/>
      <w:hyperlink w:anchor="fn5">
        <w:r>
          <w:rPr>
            <w:rFonts w:eastAsia="inter" w:cs="inter" w:ascii="inter" w:hAnsi="inter"/>
            <w:color w:val="#000"/>
            <w:sz w:val="21"/>
            <w:u w:val="single"/>
            <w:vertAlign w:val="superscript"/>
          </w:rPr>
          <w:t xml:space="preserve">[5]</w:t>
        </w:r>
      </w:hyperlink>
      <w:bookmarkStart w:id="12" w:name="fnref1:2"/>
      <w:bookmarkEnd w:id="12"/>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SSRG International Journal of Electrical and Electronics Engineering, “Flywheel Energy Storage in Electrical System Integrates Renewable Energy Sources”.</w:t>
      </w:r>
      <w:bookmarkStart w:id="13" w:name="fnref6"/>
      <w:bookmarkEnd w:id="13"/>
      <w:hyperlink w:anchor="fn6">
        <w:r>
          <w:rPr>
            <w:rFonts w:eastAsia="inter" w:cs="inter" w:ascii="inter" w:hAnsi="inter"/>
            <w:color w:val="#000"/>
            <w:sz w:val="21"/>
            <w:u w:val="single"/>
            <w:vertAlign w:val="superscript"/>
          </w:rPr>
          <w:t xml:space="preserve">[6]</w:t>
        </w:r>
      </w:hyperlink>
      <w:bookmarkStart w:id="14" w:name="fnref3:1"/>
      <w:bookmarkEnd w:id="14"/>
      <w:hyperlink w:anchor="fn3">
        <w:r>
          <w:rPr>
            <w:rFonts w:eastAsia="inter" w:cs="inter" w:ascii="inter" w:hAnsi="inter"/>
            <w:color w:val="#000"/>
            <w:sz w:val="21"/>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Instructions:</w:t>
      </w:r>
    </w:p>
    <w:p>
      <w:pPr>
        <w:numPr>
          <w:ilvl w:val="0"/>
          <w:numId w:val="4"/>
        </w:numPr>
        <w:spacing w:line="360" w:before="105" w:after="105" w:lineRule="auto"/>
      </w:pPr>
      <w:r>
        <w:rPr>
          <w:rFonts w:eastAsia="inter" w:cs="inter" w:ascii="inter" w:hAnsi="inter"/>
          <w:color w:val="000000"/>
          <w:sz w:val="21"/>
        </w:rPr>
        <w:t xml:space="preserve">Copy-paste this content into a Word document.</w:t>
      </w:r>
    </w:p>
    <w:p>
      <w:pPr>
        <w:numPr>
          <w:ilvl w:val="0"/>
          <w:numId w:val="4"/>
        </w:numPr>
        <w:spacing w:line="360" w:before="105" w:after="105" w:lineRule="auto"/>
      </w:pPr>
      <w:r>
        <w:rPr>
          <w:rFonts w:eastAsia="inter" w:cs="inter" w:ascii="inter" w:hAnsi="inter"/>
          <w:color w:val="000000"/>
          <w:sz w:val="21"/>
        </w:rPr>
        <w:t xml:space="preserve">Use appropriate headings, bold for section titles, and bullet points where applicable.</w:t>
      </w:r>
    </w:p>
    <w:p>
      <w:pPr>
        <w:numPr>
          <w:ilvl w:val="0"/>
          <w:numId w:val="4"/>
        </w:numPr>
        <w:spacing w:line="360" w:before="105" w:after="105" w:lineRule="auto"/>
      </w:pPr>
      <w:r>
        <w:rPr>
          <w:rFonts w:eastAsia="inter" w:cs="inter" w:ascii="inter" w:hAnsi="inter"/>
          <w:color w:val="000000"/>
          <w:sz w:val="21"/>
        </w:rPr>
        <w:t xml:space="preserve">Save as </w:t>
      </w:r>
      <w:r>
        <w:rPr>
          <w:rStyle w:val="VerbatimChar"/>
          <w:rFonts w:eastAsia="ibm plex mono" w:cs="ibm plex mono" w:ascii="ibm plex mono" w:hAnsi="ibm plex mono"/>
          <w:color w:val="000000"/>
          <w:sz w:val="18"/>
          <w:shd w:val="clear" w:color="auto" w:fill="F8F8FA"/>
        </w:rPr>
        <w:t xml:space="preserve">renewable_energy_storage_research_paper.docx</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This structure and content align with academic formatting and reflect the technical, factual, and analytical expectations for such documents.</w:t>
      </w:r>
      <w:bookmarkStart w:id="15" w:name="fnref3:2"/>
      <w:bookmarkEnd w:id="15"/>
      <w:hyperlink w:anchor="fn3">
        <w:r>
          <w:rPr>
            <w:rFonts w:eastAsia="inter" w:cs="inter" w:ascii="inter" w:hAnsi="inter"/>
            <w:color w:val="#000"/>
            <w:u w:val="single"/>
            <w:vertAlign w:val="superscript"/>
          </w:rPr>
          <w:t xml:space="preserve">[3]</w:t>
        </w:r>
      </w:hyperlink>
      <w:bookmarkStart w:id="16" w:name="fnref1:3"/>
      <w:bookmarkEnd w:id="16"/>
      <w:hyperlink w:anchor="fn1">
        <w:r>
          <w:rPr>
            <w:rFonts w:eastAsia="inter" w:cs="inter" w:ascii="inter" w:hAnsi="inter"/>
            <w:color w:val="#000"/>
            <w:u w:val="single"/>
            <w:vertAlign w:val="superscript"/>
          </w:rPr>
          <w:t xml:space="preserve">[1]</w:t>
        </w:r>
      </w:hyperlink>
      <w:bookmarkStart w:id="17" w:name="fnref2:7"/>
      <w:bookmarkEnd w:id="17"/>
      <w:hyperlink w:anchor="fn2">
        <w:r>
          <w:rPr>
            <w:rFonts w:eastAsia="inter" w:cs="inter" w:ascii="inter" w:hAnsi="inter"/>
            <w:color w:val="#000"/>
            <w:u w:val="single"/>
            <w:vertAlign w:val="superscript"/>
          </w:rPr>
          <w:t xml:space="preserve">[2]</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8" w:name="fn1"/>
    <w:bookmarkEnd w:id="18"/>
    <w:p>
      <w:pPr>
        <w:numPr>
          <w:ilvl w:val="0"/>
          <w:numId w:val="6"/>
        </w:numPr>
        <w:spacing w:line="360" w:after="210" w:lineRule="auto"/>
      </w:pPr>
      <w:hyperlink r:id="rId6">
        <w:r>
          <w:rPr>
            <w:rFonts w:eastAsia="inter" w:cs="inter" w:ascii="inter" w:hAnsi="inter"/>
            <w:color w:val="#000"/>
            <w:sz w:val="18"/>
            <w:u w:val="single"/>
          </w:rPr>
          <w:t xml:space="preserve">https://www.sciencedirect.com/science/article/pii/S2772427125000324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2"/>
    <w:bookmarkEnd w:id="19"/>
    <w:p>
      <w:pPr>
        <w:numPr>
          <w:ilvl w:val="0"/>
          <w:numId w:val="6"/>
        </w:numPr>
        <w:spacing w:line="360" w:after="210" w:lineRule="auto"/>
      </w:pPr>
      <w:hyperlink r:id="rId7">
        <w:r>
          <w:rPr>
            <w:rFonts w:eastAsia="inter" w:cs="inter" w:ascii="inter" w:hAnsi="inter"/>
            <w:color w:val="#000"/>
            <w:sz w:val="18"/>
            <w:u w:val="single"/>
          </w:rPr>
          <w:t xml:space="preserve">https://www.niti.gov.in/sites/default/files/2019-10/ISGF-Report-on-Energy-Storage-System-(ESS)-Roadmap-for-India-2019-2032.pdf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3"/>
    <w:bookmarkEnd w:id="20"/>
    <w:p>
      <w:pPr>
        <w:numPr>
          <w:ilvl w:val="0"/>
          <w:numId w:val="6"/>
        </w:numPr>
        <w:spacing w:line="360" w:after="210" w:lineRule="auto"/>
      </w:pPr>
      <w:hyperlink r:id="rId8">
        <w:r>
          <w:rPr>
            <w:rFonts w:eastAsia="inter" w:cs="inter" w:ascii="inter" w:hAnsi="inter"/>
            <w:color w:val="#000"/>
            <w:sz w:val="18"/>
            <w:u w:val="single"/>
          </w:rPr>
          <w:t xml:space="preserve">https://www.internationaljournalssrg.org/IJEEE/paper-details?Id=286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4"/>
    <w:bookmarkEnd w:id="21"/>
    <w:p>
      <w:pPr>
        <w:numPr>
          <w:ilvl w:val="0"/>
          <w:numId w:val="6"/>
        </w:numPr>
        <w:spacing w:line="360" w:after="210" w:lineRule="auto"/>
      </w:pPr>
      <w:hyperlink r:id="rId9">
        <w:r>
          <w:rPr>
            <w:rFonts w:eastAsia="inter" w:cs="inter" w:ascii="inter" w:hAnsi="inter"/>
            <w:color w:val="#000"/>
            <w:sz w:val="18"/>
            <w:u w:val="single"/>
          </w:rPr>
          <w:t xml:space="preserve">https://www.sciencedirect.com/science/article/abs/pii/S0378775325006688</w:t>
        </w:r>
      </w:hyperlink>
      <w:r>
        <w:rPr>
          <w:rFonts w:eastAsia="inter" w:cs="inter" w:ascii="inter" w:hAnsi="inter"/>
          <w:color w:val="000000"/>
          <w:sz w:val="18"/>
        </w:rPr>
        <w:t xml:space="preserve"> </w:t>
      </w:r>
    </w:p>
    <w:bookmarkStart w:id="22" w:name="fn5"/>
    <w:bookmarkEnd w:id="22"/>
    <w:p>
      <w:pPr>
        <w:numPr>
          <w:ilvl w:val="0"/>
          <w:numId w:val="6"/>
        </w:numPr>
        <w:spacing w:line="360" w:after="210" w:lineRule="auto"/>
      </w:pPr>
      <w:hyperlink r:id="rId10">
        <w:r>
          <w:rPr>
            <w:rFonts w:eastAsia="inter" w:cs="inter" w:ascii="inter" w:hAnsi="inter"/>
            <w:color w:val="#000"/>
            <w:sz w:val="18"/>
            <w:u w:val="single"/>
          </w:rPr>
          <w:t xml:space="preserve">https://www.deloitte.com/us/en/insights/industry/renewable-energy/renewable-energy-industry-outlook.html</w:t>
        </w:r>
      </w:hyperlink>
      <w:r>
        <w:rPr>
          <w:rFonts w:eastAsia="inter" w:cs="inter" w:ascii="inter" w:hAnsi="inter"/>
          <w:color w:val="000000"/>
          <w:sz w:val="18"/>
        </w:rPr>
        <w:t xml:space="preserve"> </w:t>
      </w:r>
    </w:p>
    <w:bookmarkStart w:id="23" w:name="fn6"/>
    <w:bookmarkEnd w:id="23"/>
    <w:p>
      <w:pPr>
        <w:numPr>
          <w:ilvl w:val="0"/>
          <w:numId w:val="6"/>
        </w:numPr>
        <w:spacing w:line="360" w:after="210" w:lineRule="auto"/>
      </w:pPr>
      <w:hyperlink r:id="rId11">
        <w:r>
          <w:rPr>
            <w:rFonts w:eastAsia="inter" w:cs="inter" w:ascii="inter" w:hAnsi="inter"/>
            <w:color w:val="#000"/>
            <w:sz w:val="18"/>
            <w:u w:val="single"/>
          </w:rPr>
          <w:t xml:space="preserve">https://ease-storage.eu/event/energy-storage-2025/</w:t>
        </w:r>
      </w:hyperlink>
      <w:r>
        <w:rPr>
          <w:rFonts w:eastAsia="inter" w:cs="inter" w:ascii="inter" w:hAnsi="inter"/>
          <w:color w:val="000000"/>
          <w:sz w:val="18"/>
        </w:rPr>
        <w:t xml:space="preserve"> </w:t>
      </w:r>
    </w:p>
    <w:bookmarkStart w:id="24" w:name="fn7"/>
    <w:bookmarkEnd w:id="24"/>
    <w:p>
      <w:pPr>
        <w:numPr>
          <w:ilvl w:val="0"/>
          <w:numId w:val="6"/>
        </w:numPr>
        <w:spacing w:line="360" w:after="210" w:lineRule="auto"/>
      </w:pPr>
      <w:hyperlink r:id="rId12">
        <w:r>
          <w:rPr>
            <w:rFonts w:eastAsia="inter" w:cs="inter" w:ascii="inter" w:hAnsi="inter"/>
            <w:color w:val="#000"/>
            <w:sz w:val="18"/>
            <w:u w:val="single"/>
          </w:rPr>
          <w:t xml:space="preserve">https://www.sciencedirect.com/journal/journal-of-energy-storage/publish/guide-for-authors</w:t>
        </w:r>
      </w:hyperlink>
      <w:r>
        <w:rPr>
          <w:rFonts w:eastAsia="inter" w:cs="inter" w:ascii="inter" w:hAnsi="inter"/>
          <w:color w:val="000000"/>
          <w:sz w:val="18"/>
        </w:rPr>
        <w:t xml:space="preserve"> </w:t>
      </w:r>
    </w:p>
    <w:bookmarkStart w:id="25" w:name="fn8"/>
    <w:bookmarkEnd w:id="25"/>
    <w:p>
      <w:pPr>
        <w:numPr>
          <w:ilvl w:val="0"/>
          <w:numId w:val="6"/>
        </w:numPr>
        <w:spacing w:line="360" w:after="210" w:lineRule="auto"/>
      </w:pPr>
      <w:hyperlink r:id="rId13">
        <w:r>
          <w:rPr>
            <w:rFonts w:eastAsia="inter" w:cs="inter" w:ascii="inter" w:hAnsi="inter"/>
            <w:color w:val="#000"/>
            <w:sz w:val="18"/>
            <w:u w:val="single"/>
          </w:rPr>
          <w:t xml:space="preserve">https://www.scribd.com/document/795887939/Research-paper-Template-1-4</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6a36ba38173a8b35bd6ecb35faebb899866a155.png" TargetMode="Internal"/><Relationship Id="rId6" Type="http://schemas.openxmlformats.org/officeDocument/2006/relationships/hyperlink" Target="https://www.sciencedirect.com/science/article/pii/S2772427125000324" TargetMode="External"/><Relationship Id="rId7" Type="http://schemas.openxmlformats.org/officeDocument/2006/relationships/hyperlink" Target="https://www.niti.gov.in/sites/default/files/2019-10/ISGF-Report-on-Energy-Storage-System-(ESS)-Roadmap-for-India-2019-2032.pdf" TargetMode="External"/><Relationship Id="rId8" Type="http://schemas.openxmlformats.org/officeDocument/2006/relationships/hyperlink" Target="https://www.internationaljournalssrg.org/IJEEE/paper-details?Id=286" TargetMode="External"/><Relationship Id="rId9" Type="http://schemas.openxmlformats.org/officeDocument/2006/relationships/hyperlink" Target="https://www.sciencedirect.com/science/article/abs/pii/S0378775325006688" TargetMode="External"/><Relationship Id="rId10" Type="http://schemas.openxmlformats.org/officeDocument/2006/relationships/hyperlink" Target="https://www.deloitte.com/us/en/insights/industry/renewable-energy/renewable-energy-industry-outlook.html" TargetMode="External"/><Relationship Id="rId11" Type="http://schemas.openxmlformats.org/officeDocument/2006/relationships/hyperlink" Target="https://ease-storage.eu/event/energy-storage-2025/" TargetMode="External"/><Relationship Id="rId12" Type="http://schemas.openxmlformats.org/officeDocument/2006/relationships/hyperlink" Target="https://www.sciencedirect.com/journal/journal-of-energy-storage/publish/guide-for-authors" TargetMode="External"/><Relationship Id="rId13" Type="http://schemas.openxmlformats.org/officeDocument/2006/relationships/hyperlink" Target="https://www.scribd.com/document/795887939/Research-paper-Template-1-4"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2025-09-06T06:15:35.187Z</dcterms:created>
  <dcterms:modified xsi:type="dcterms:W3CDTF">2025-09-06T06:15:35.187Z</dcterms:modified>
</cp:coreProperties>
</file>