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658" w:rsidRDefault="00A37658" w:rsidP="00A3765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豪吉</w:t>
      </w:r>
    </w:p>
    <w:p w:rsidR="00A37658" w:rsidRDefault="00A37658" w:rsidP="00A3765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  <w:bdr w:val="none" w:sz="0" w:space="0" w:color="auto" w:frame="1"/>
        </w:rPr>
        <w:t>被招安的在野豪杰</w:t>
      </w:r>
    </w:p>
    <w:p w:rsidR="00A37658" w:rsidRDefault="00A37658" w:rsidP="00A37658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1987</w:t>
      </w:r>
      <w:r>
        <w:rPr>
          <w:rFonts w:ascii="Arial" w:hAnsi="Arial" w:cs="Arial"/>
          <w:color w:val="191919"/>
        </w:rPr>
        <w:t>年，也就是太太乐建立中国第一条鸡精生产线后的第</w:t>
      </w:r>
      <w:r>
        <w:rPr>
          <w:rFonts w:ascii="Arial" w:hAnsi="Arial" w:cs="Arial"/>
          <w:color w:val="191919"/>
        </w:rPr>
        <w:t>3</w:t>
      </w:r>
      <w:r>
        <w:rPr>
          <w:rFonts w:ascii="Arial" w:hAnsi="Arial" w:cs="Arial"/>
          <w:color w:val="191919"/>
        </w:rPr>
        <w:t>年，现在的豪吉总经理严俊波研发出了豪吉鸡精。</w:t>
      </w:r>
      <w:r>
        <w:rPr>
          <w:rFonts w:ascii="Arial" w:hAnsi="Arial" w:cs="Arial"/>
          <w:color w:val="191919"/>
        </w:rPr>
        <w:t>1990</w:t>
      </w:r>
      <w:r>
        <w:rPr>
          <w:rFonts w:ascii="Arial" w:hAnsi="Arial" w:cs="Arial"/>
          <w:color w:val="191919"/>
        </w:rPr>
        <w:t>年公司设计了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立足西南，着眼全国，面向世界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的战略导向，此后数年豪吉一直是西南市场的老大。直到</w:t>
      </w:r>
      <w:r>
        <w:rPr>
          <w:rFonts w:ascii="Arial" w:hAnsi="Arial" w:cs="Arial"/>
          <w:color w:val="191919"/>
        </w:rPr>
        <w:t>2001</w:t>
      </w:r>
      <w:r>
        <w:rPr>
          <w:rFonts w:ascii="Arial" w:hAnsi="Arial" w:cs="Arial"/>
          <w:color w:val="191919"/>
        </w:rPr>
        <w:t>年，雀巢收购豪吉</w:t>
      </w:r>
      <w:r>
        <w:rPr>
          <w:rFonts w:ascii="Arial" w:hAnsi="Arial" w:cs="Arial"/>
          <w:color w:val="191919"/>
        </w:rPr>
        <w:t>60%</w:t>
      </w:r>
      <w:r>
        <w:rPr>
          <w:rFonts w:ascii="Arial" w:hAnsi="Arial" w:cs="Arial"/>
          <w:color w:val="191919"/>
        </w:rPr>
        <w:t>的股份。</w:t>
      </w:r>
    </w:p>
    <w:p w:rsidR="00A37658" w:rsidRDefault="00A37658" w:rsidP="00A37658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noProof/>
          <w:color w:val="191919"/>
        </w:rPr>
        <w:drawing>
          <wp:inline distT="0" distB="0" distL="0" distR="0">
            <wp:extent cx="4160520" cy="2735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7658" w:rsidRDefault="00A37658" w:rsidP="00A37658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与以往雀巢通常采取的全资并购方式不同，雀巢只收购了豪吉</w:t>
      </w:r>
      <w:r>
        <w:rPr>
          <w:rFonts w:ascii="Arial" w:hAnsi="Arial" w:cs="Arial"/>
          <w:color w:val="191919"/>
        </w:rPr>
        <w:t>60%</w:t>
      </w:r>
      <w:r>
        <w:rPr>
          <w:rFonts w:ascii="Arial" w:hAnsi="Arial" w:cs="Arial"/>
          <w:color w:val="191919"/>
        </w:rPr>
        <w:t>的股份，品牌使用权也在豪吉集团手中，新成立的合资公司有偿使用豪吉品牌。正因为条件丰厚，双方的谈判迅速达成共识。</w:t>
      </w:r>
    </w:p>
    <w:p w:rsidR="00A37658" w:rsidRDefault="00A37658" w:rsidP="00A37658">
      <w:pPr>
        <w:pStyle w:val="a3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我们也可以大胆猜测，雀巢将西南鸡精市场第一的豪吉招至门下，采取的是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招安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的策略，避免其与雀巢旗下的太太乐构成直接竞争。而豪吉也因此迎来了发展的高速时期，不但稳居西南第一把交椅，获得各种荣誉，更在产品上推陈出新，远销海外。</w:t>
      </w:r>
    </w:p>
    <w:p w:rsidR="00655388" w:rsidRDefault="00655388"/>
    <w:sectPr w:rsidR="00655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58"/>
    <w:rsid w:val="00655388"/>
    <w:rsid w:val="00A3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91F38-6F93-4EB3-859D-73984F02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泽松</dc:creator>
  <cp:keywords/>
  <dc:description/>
  <cp:lastModifiedBy>范 泽松</cp:lastModifiedBy>
  <cp:revision>1</cp:revision>
  <dcterms:created xsi:type="dcterms:W3CDTF">2019-11-22T09:57:00Z</dcterms:created>
  <dcterms:modified xsi:type="dcterms:W3CDTF">2019-11-22T09:57:00Z</dcterms:modified>
</cp:coreProperties>
</file>