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595959"/>
          <w:sz w:val="24"/>
          <w:szCs w:val="24"/>
        </w:rPr>
        <w:t xml:space="preserve">CONTENT QUALITY ASSURANCE AUDIT</w:t>
      </w:r>
    </w:p>
    <w:p>
      <w:pPr>
        <w:spacing w:after="60" w:before="120"/>
      </w:pPr>
      <w:r>
        <w:rPr>
          <w:rFonts w:ascii="Arial" w:cs="Arial" w:eastAsia="Arial" w:hAnsi="Arial"/>
          <w:b/>
          <w:bCs/>
          <w:color w:val="003087"/>
          <w:sz w:val="56"/>
          <w:szCs w:val="56"/>
        </w:rPr>
        <w:t xml:space="preserve">In-Person Payments with PayPal</w:t>
      </w:r>
    </w:p>
    <w:p>
      <w:pPr>
        <w:pBdr>
          <w:bottom w:val="single" w:color="003087" w:sz="12"/>
        </w:pBdr>
        <w:spacing w:after="500"/>
      </w:pPr>
      <w:r>
        <w:rPr>
          <w:rFonts w:ascii="Arial" w:cs="Arial" w:eastAsia="Arial" w:hAnsi="Arial"/>
          <w:color w:val="595959"/>
          <w:sz w:val="24"/>
          <w:szCs w:val="24"/>
        </w:rPr>
        <w:t xml:space="preserve">Articulate Rise 360 module — editorial and design review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Module</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In-Person Payments with PayPal</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Review link</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https://360.articulate.com/review/content/0aa5a2c1-aa69-4e63-8a7e-a9f233d5fc38/review</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Review date</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2026-08-03</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Screens with findings</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40</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Numbered findings</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124</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Additional observations</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7</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Sources of truth</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PayPal Style Guide (PayPal_Style_Guide_Final.pdf) and standard English usage. No storyboard or source content document was supplied, so content accuracy against source could not be checked; items needing source verification are called out explicitly.</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Method</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Every lesson was opened in a desktop browser at 1400 px wide and read top to bottom. Every accordion, tab, flashcard and quiz question was opened and answered. Colours were sampled from the rendered page.</w:t>
            </w:r>
          </w:p>
        </w:tc>
      </w:tr>
    </w:tbl>
    <w:p>
      <w:r>
        <w:br w:type="page"/>
      </w:r>
    </w:p>
    <w:p>
      <w:pPr>
        <w:pStyle w:val="Heading1"/>
        <w:spacing w:after="140" w:before="320"/>
      </w:pPr>
      <w:r>
        <w:rPr>
          <w:rFonts w:ascii="Arial" w:cs="Arial" w:eastAsia="Arial" w:hAnsi="Arial"/>
          <w:b/>
          <w:bCs/>
          <w:color w:val="003087"/>
          <w:sz w:val="30"/>
          <w:szCs w:val="30"/>
        </w:rPr>
        <w:t xml:space="preserve">How to read this report</w:t>
      </w:r>
    </w:p>
    <w:p>
      <w:pPr>
        <w:spacing w:after="100" w:before="0"/>
      </w:pPr>
      <w:r>
        <w:rPr>
          <w:rFonts w:ascii="Arial" w:cs="Arial" w:eastAsia="Arial" w:hAnsi="Arial"/>
          <w:sz w:val="21"/>
          <w:szCs w:val="21"/>
        </w:rPr>
        <w:t xml:space="preserve">Findings are grouped by the screen they appear on, in the order a learner meets them. Each screen shows a real screenshot of the module with every issue circled and numbered in red. Directly below the screenshot, each number has a comment and a reason.</w:t>
      </w:r>
    </w:p>
    <w:p>
      <w:pPr>
        <w:spacing w:after="100" w:before="0"/>
      </w:pPr>
      <w:r>
        <w:rPr>
          <w:rFonts w:ascii="Arial" w:cs="Arial" w:eastAsia="Arial" w:hAnsi="Arial"/>
          <w:sz w:val="21"/>
          <w:szCs w:val="21"/>
        </w:rPr>
        <w:t xml:space="preserve">The comment is written so it can be copied straight into a review tool as-is. The reason is written in plain English.</w:t>
      </w:r>
    </w:p>
    <w:p>
      <w:pPr>
        <w:spacing w:after="100" w:before="0"/>
      </w:pPr>
      <w:r>
        <w:rPr>
          <w:rFonts w:ascii="Arial" w:cs="Arial" w:eastAsia="Arial" w:hAnsi="Arial"/>
          <w:b/>
          <w:bCs/>
          <w:sz w:val="21"/>
          <w:szCs w:val="21"/>
        </w:rPr>
        <w:t xml:space="preserve">Nothing in this report has been posted to the Rise 360 review link.</w:t>
      </w:r>
    </w:p>
    <w:p>
      <w:pPr>
        <w:pBdr>
          <w:bottom w:val="single" w:color="D9D9D9" w:sz="6"/>
        </w:pBdr>
        <w:spacing w:after="160" w:before="60"/>
      </w:pPr>
      <w:r>
        <w:rPr>
          <w:rFonts w:ascii="Arial" w:cs="Arial" w:eastAsia="Arial" w:hAnsi="Arial"/>
          <w:sz w:val="4"/>
          <w:szCs w:val="4"/>
        </w:rPr>
        <w:t xml:space="preserve"/>
      </w:r>
    </w:p>
    <w:p>
      <w:pPr>
        <w:pStyle w:val="Heading1"/>
        <w:spacing w:after="140" w:before="320"/>
      </w:pPr>
      <w:r>
        <w:rPr>
          <w:rFonts w:ascii="Arial" w:cs="Arial" w:eastAsia="Arial" w:hAnsi="Arial"/>
          <w:b/>
          <w:bCs/>
          <w:color w:val="003087"/>
          <w:sz w:val="30"/>
          <w:szCs w:val="30"/>
        </w:rPr>
        <w:t xml:space="preserve">Findings by lesson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600"/>
        <w:gridCol w:w="2000"/>
      </w:tblGrid>
      <w:tr>
        <w:tc>
          <w:tcPr>
            <w:tcW w:type="dxa" w:w="7600"/>
            <w:shd w:fill="00308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Lesson</w:t>
            </w:r>
          </w:p>
        </w:tc>
        <w:tc>
          <w:tcPr>
            <w:tcW w:type="dxa" w:w="2000"/>
            <w:shd w:fill="003087"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Findings</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1 of 6 — Introduction to PayPal POS (Zettle)</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54</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2 of 6 — Teammate View in Spark</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3</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3 of 6 — Pairing/Troubleshooting</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20</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4 of 6 — FAQs and Resources</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32</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5 of 6 — Quiz</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12</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6 of 6 — Summary</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3</w:t>
            </w:r>
          </w:p>
        </w:tc>
      </w:tr>
    </w:tbl>
    <w:p>
      <w:pPr>
        <w:spacing w:before="200"/>
      </w:pPr>
      <w:r>
        <w:br w:type="page"/>
      </w:r>
    </w:p>
    <w:p>
      <w:pPr>
        <w:pStyle w:val="Heading1"/>
        <w:spacing w:after="140" w:before="320"/>
      </w:pPr>
      <w:r>
        <w:rPr>
          <w:rFonts w:ascii="Arial" w:cs="Arial" w:eastAsia="Arial" w:hAnsi="Arial"/>
          <w:b/>
          <w:bCs/>
          <w:color w:val="003087"/>
          <w:sz w:val="30"/>
          <w:szCs w:val="30"/>
        </w:rPr>
        <w:t xml:space="preserve">Lesson 1 of 6 — Introduction to PayPal POS (Zettle)</w:t>
      </w:r>
    </w:p>
    <w:p>
      <w:pPr>
        <w:pStyle w:val="Heading2"/>
        <w:spacing w:after="140" w:before="240"/>
      </w:pPr>
      <w:r>
        <w:rPr>
          <w:rFonts w:ascii="Arial" w:cs="Arial" w:eastAsia="Arial" w:hAnsi="Arial"/>
          <w:b/>
          <w:bCs/>
          <w:color w:val="003087"/>
          <w:sz w:val="25"/>
          <w:szCs w:val="25"/>
        </w:rPr>
        <w:t xml:space="preserve">A1.1  Opening paragraphs</w:t>
      </w:r>
    </w:p>
    <w:p>
      <w:pPr>
        <w:spacing w:after="140" w:before="60"/>
        <w:jc w:val="center"/>
      </w:pPr>
      <w:r>
        <w:drawing>
          <wp:inline distT="0" distB="0" distL="0" distR="0">
            <wp:extent cx="6286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“mobile Card Readers” to “mobile card readers”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“Card reader” is a common noun here, not a product name, so it takes lower case.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“compete with the big players” to “compete with larger businesses”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big players” is informal. Use plain, simple language.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“PayPal helps its users to grow their businesses” to “We help users grow their businesses”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problems. The paragraph switches between third person (“PayPal”, “its”) and first person (“we”) in the very next sentence — refer to PayPal as “we”. Also “to” is not needed after “helps”.</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“help them to start, run, and grow their business” to “help them start, run, and grow their businesses”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“To” is not needed after “help”, and “them” is plural so “business” should be “businesses”.</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A1.2  Objectives</w:t>
      </w:r>
    </w:p>
    <w:p>
      <w:pPr>
        <w:spacing w:after="140" w:before="60"/>
        <w:jc w:val="center"/>
      </w:pPr>
      <w:r>
        <w:drawing>
          <wp:inline distT="0" distB="0" distL="0" distR="0">
            <wp:extent cx="6286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10763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“enables merchant to accept in-person payments” to “enables merchants to accept in-person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 should be plural. As written the sentence is missing either the plural or an article.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“guide a merchant” to “guide merchants”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Summary lesson lists this same objective as “guide merchants”. The two lists must match word for word.</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A1.3  Disclaimer callout and video lead-in</w:t>
      </w:r>
    </w:p>
    <w:p>
      <w:pPr>
        <w:spacing w:after="140" w:before="60"/>
        <w:jc w:val="center"/>
      </w:pPr>
      <w:r>
        <w:drawing>
          <wp:inline distT="0" distB="0" distL="0" distR="0">
            <wp:extent cx="6286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2383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Spell out “BRE” on first use, then use “BRE teammates” after that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Acronyms must be expanded the first time they appear. “BRE” is never explained in either module.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“Transfer more advanced queries or issues to the PayPal POS support team (Level 2)”</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is passive. Use active voice and the imperative for an instruction.</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“The PayPal POS Card Reader” to “The PayPal POS card reader”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“Card reader” is a common noun and takes lower case.</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“PayPal Point of Sale system” to “PayPal Point-of-Sale (POS) system”</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cover page writes it “Point-of-Sale (POS)”. Use one spelling throughout.</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“Let us dive deeper into its details.” to “Let’s dive deeper into its details.”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Use positive contractions to sound natural and conversational.</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A1.4  Zettle Terminal video (placed in the Zettle Reader section)</w:t>
      </w:r>
    </w:p>
    <w:p>
      <w:pPr>
        <w:spacing w:after="140" w:before="60"/>
        <w:jc w:val="center"/>
      </w:pPr>
      <w:r>
        <w:drawing>
          <wp:inline distT="0" distB="0" distL="0" distR="0">
            <wp:extent cx="6286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9909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Move this video to a section about the Zettle Terminal, or replace it with a video about the Zettle Reader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section is headed “Zettle Reader” and lists the reader’s specifications, but the video introduces the Zettle Terminal, which is a different product.</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Add a lead line above this video, for example “Watch the video below to see the Zettle Terminal in action.”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requires a lead line before any embedded or interactive element. This video appears straight after the Zettle Reader bullet list with no introduction.</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A1.5  POS Readers and Hardware / Zettle Reader specifications</w:t>
      </w:r>
    </w:p>
    <w:p>
      <w:pPr>
        <w:spacing w:after="140" w:before="60"/>
        <w:jc w:val="center"/>
      </w:pPr>
      <w:r>
        <w:drawing>
          <wp:inline distT="0" distB="0" distL="0" distR="0">
            <wp:extent cx="6286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27146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“merchant approval is required. The application process can be started through the PayPal POS page.” to “merchants must be approved. They can start the application on the PayPal POS page.”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Both sentences are passive. Use active voice.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“The Zettle Reader has the following functions and technical specifications:”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problems. “Zettle reader” does not match the “Zettle Reader” heading directly above it, and “are mentioned below” is indirect.</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“No magnet strip, only Chip and Tap (Contactless)” to “Supports Chip and Tap (contactless) only — no magnetic stripe”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list mixes verb phrases, noun phrases and full sentences — every bullet should start with a verb. Also “magnet strip” should be “magnetic stripe”, which is the term the quiz uses.</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“Battery time is 8+ hours” to “Provides 8+ hours of battery life”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 this bullet is a full sentence while others are phrases. “Battery life” is also the standard term.</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to “Costs $79, with the first reader discounted to $29”</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complete sentences are joined by a comma (comma splice). Also “$79 USD” states the currency twice — use either “$79” or “79 USD”, not both.</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“Available in White and Black color options” to “Comes in white and black”</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Colours are common nouns and take lower case. “Color options” repeats what “white and black” already says.</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A1.6  Ready-made Store Kits</w:t>
      </w:r>
    </w:p>
    <w:p>
      <w:pPr>
        <w:spacing w:after="140" w:before="60"/>
        <w:jc w:val="center"/>
      </w:pPr>
      <w:r>
        <w:drawing>
          <wp:inline distT="0" distB="0" distL="0" distR="0">
            <wp:extent cx="6286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2002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“these sleek, space-saving kits are game-changers” to “these kits are compact and save counter space”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“Game-changers” is marketing jargon. Use simple, jargon-free language.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“For those on the move” to “For those selling on the move”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other three captions follow the pattern “For those + verb-ing”; this one breaks it.</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A1.7  Addressing Merchant Needs</w:t>
      </w:r>
    </w:p>
    <w:p>
      <w:pPr>
        <w:spacing w:after="140" w:before="60"/>
        <w:jc w:val="center"/>
      </w:pPr>
      <w:r>
        <w:drawing>
          <wp:inline distT="0" distB="0" distL="0" distR="0">
            <wp:extent cx="6286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18192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“Merchants” to “merchants”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 is a common noun and takes lower case. This applies everywhere it appears capitalised in the module.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“Here’s some examples” to “Here are some examples”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“Examples” is plural, so the verb must be “are”.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“regarding their needs with accepting in-store payments” to “about their needs when accepting in-store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“Regarding their needs with” is awkward and unclear.</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Use curly double quotes (“ ”) for all six quotations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first and last quotations use straight quotes while the rest use curly quotes.</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Remove the blue colour from “offline payments”, “(Bluetooth)”, “WIFI”, “screen looks old”, “tip” and “pair/unpair constantly”, and use bold instead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blue used here (#008CFF) is the same colour as links in the module, so learners will try to click text that is not clickable.</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Either label these as verbatim merchant quotes or paraphrase them</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Several quotes contain comma splices and run-on sentences, and this one gives no actual feedback. Verbatim quotes should not be silently corrected, so mark them as verbatim.</w:t>
      </w:r>
    </w:p>
    <w:p>
      <w:pPr>
        <w:spacing w:after="60" w:before="0"/>
        <w:ind w:left="200"/>
      </w:pPr>
      <w:r>
        <w:rPr>
          <w:rFonts w:ascii="Arial" w:cs="Arial" w:eastAsia="Arial" w:hAnsi="Arial"/>
          <w:b/>
          <w:bCs/>
          <w:color w:val="C00000"/>
          <w:sz w:val="21"/>
          <w:szCs w:val="21"/>
        </w:rPr>
        <w:t xml:space="preserve">7. </w:t>
      </w:r>
      <w:r>
        <w:rPr>
          <w:rFonts w:ascii="Arial" w:cs="Arial" w:eastAsia="Arial" w:hAnsi="Arial"/>
          <w:sz w:val="21"/>
          <w:szCs w:val="21"/>
        </w:rPr>
        <w:t xml:space="preserve">Change “WIFI” to “WiFi”. If the quotation is verbatim, keep the merchant’s wording and add [sic]</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spells it “WiFi”. The module currently uses “WIFI” here and “Wi-Fi” in the accordion below.</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A1.8  Introducing the latest PayPal Reader</w:t>
      </w:r>
    </w:p>
    <w:p>
      <w:pPr>
        <w:spacing w:after="140" w:before="60"/>
        <w:jc w:val="center"/>
      </w:pPr>
      <w:r>
        <w:drawing>
          <wp:inline distT="0" distB="0" distL="0" distR="0">
            <wp:extent cx="6286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36195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“designed to improve payment experience” to “designed to improve the payment experience”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Definite article is missing.</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“It works with Android and iOS devices. Web support is expected in a future update.”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three items in the list are different kinds of things — “Android” and “iOS devices” are platforms, “web support” is a feature that does not yet exist.</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“Select each heading below to learn about the key improvements in the PayPal Reader (V3).”</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interaction below is an accordion, not tabs, so the instruction tells the learner to do something that is not on screen. Also “PayPal reader v3” does not match the product name “PayPal Reader (V3)” used elsewhere.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A1.9  Key improvements accordion (all panels expanded)</w:t>
      </w:r>
    </w:p>
    <w:p>
      <w:pPr>
        <w:spacing w:after="40" w:before="60"/>
        <w:jc w:val="center"/>
      </w:pPr>
      <w:r>
        <w:drawing>
          <wp:inline distT="0" distB="0" distL="0" distR="0">
            <wp:extent cx="62865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5972175"/>
                    </a:xfrm>
                    <a:prstGeom prst="rect">
                      <a:avLst/>
                    </a:prstGeom>
                  </pic:spPr>
                </pic:pic>
              </a:graphicData>
            </a:graphic>
          </wp:inline>
        </w:drawing>
      </w:r>
    </w:p>
    <w:p>
      <w:pPr>
        <w:spacing w:after="40" w:before="60"/>
        <w:jc w:val="center"/>
      </w:pPr>
      <w:r>
        <w:drawing>
          <wp:inline distT="0" distB="0" distL="0" distR="0">
            <wp:extent cx="62865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5972175"/>
                    </a:xfrm>
                    <a:prstGeom prst="rect">
                      <a:avLst/>
                    </a:prstGeom>
                  </pic:spPr>
                </pic:pic>
              </a:graphicData>
            </a:graphic>
          </wp:inline>
        </w:drawing>
      </w:r>
    </w:p>
    <w:p>
      <w:pPr>
        <w:spacing w:after="140" w:before="60"/>
        <w:jc w:val="center"/>
      </w:pPr>
      <w:r>
        <w:drawing>
          <wp:inline distT="0" distB="0" distL="0" distR="0">
            <wp:extent cx="6286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17430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“Provides a 3.2-inch color touchscreen for better visibility, QR code display, and itemized purchase view.”</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This panel is a sentence fragment while the other four start with a verb (“It features…”, “Enables…”, “Offers…”, “Allows…”).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“Wi-Fi” to “WiFi”</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spells it “WiFi”. The module currently uses three spellings: “WIFI”, “Wi-Fi” and none consistently.</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“if the customer should lose the Bluetooth connection” to “if the customer loses the Bluetooth connection”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“Should lose” is unnecessarily formal.</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“Note: Multi-Pay will be released in a future update.”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“Multipay” does not match the “Multi-Pay” heading above it, and “a future update which will be released later” says the same thing twice.</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“Tipping — Easier and faster” to “Tipping — Easier and Faster”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other four accordion headings use title case.</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to “Allows payments even without internet access, reducing missed sales.”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full stop is missing — the other four panels end with one. Also the style guide says to use “payment” rather than “transaction”.</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A1.10  Pricing tables</w:t>
      </w:r>
    </w:p>
    <w:p>
      <w:pPr>
        <w:spacing w:after="40" w:before="60"/>
        <w:jc w:val="center"/>
      </w:pPr>
      <w:r>
        <w:drawing>
          <wp:inline distT="0" distB="0" distL="0" distR="0">
            <wp:extent cx="62865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5972175"/>
                    </a:xfrm>
                    <a:prstGeom prst="rect">
                      <a:avLst/>
                    </a:prstGeom>
                  </pic:spPr>
                </pic:pic>
              </a:graphicData>
            </a:graphic>
          </wp:inline>
        </w:drawing>
      </w:r>
    </w:p>
    <w:p>
      <w:pPr>
        <w:spacing w:after="40" w:before="60"/>
        <w:jc w:val="center"/>
      </w:pPr>
      <w:r>
        <w:drawing>
          <wp:inline distT="0" distB="0" distL="0" distR="0">
            <wp:extent cx="62865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86500" cy="5972175"/>
                    </a:xfrm>
                    <a:prstGeom prst="rect">
                      <a:avLst/>
                    </a:prstGeom>
                  </pic:spPr>
                </pic:pic>
              </a:graphicData>
            </a:graphic>
          </wp:inline>
        </w:drawing>
      </w:r>
    </w:p>
    <w:p>
      <w:pPr>
        <w:spacing w:after="140" w:before="60"/>
        <w:jc w:val="center"/>
      </w:pPr>
      <w:r>
        <w:drawing>
          <wp:inline distT="0" distB="0" distL="0" distR="0">
            <wp:extent cx="628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86500" cy="17526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the table header fill from #008CFF to PayPal Blue #003087</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#008CFF is not one of the brand colours. The palette is White #FFFFFF, Black #000000, PayPal Blue #003087 and Bright Blue #60CDFF. The Products Deep Dive module already uses #003087 for its table header.</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Add a heading such as “Product” to the first column of both pricing tables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first header cell is empty, so the column has no label.</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“The PayPal Reader prices below give small and medium-sized businesses a competitively priced in-person payment solution.”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“Costs outlined below are structured to offer” is wordy. Also “PayPal reader” should be capitalised to match the product name.</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“We offer a discount on the PayPal Reader to eligible new business users.”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is passive, and “new eligible” reverses the normal adjective order.</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“The Merchant” to “The merchant”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 is a common noun and takes lower case.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A1.11  Hardware accessories (image-based panels)</w:t>
      </w:r>
    </w:p>
    <w:p>
      <w:pPr>
        <w:spacing w:after="140" w:before="60"/>
        <w:jc w:val="center"/>
      </w:pPr>
      <w:r>
        <w:drawing>
          <wp:inline distT="0" distB="0" distL="0" distR="0">
            <wp:extent cx="6286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86500" cy="49244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“Stores a lot of cash securely” to “Stores cash securely”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lot of” is informal and adds nothing.</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Confirm whether these accessory images should show Zettle Reader 2 while the lesson covers the PayPal Reader (V3)</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images refer to an older product than the one the lesson is teaching.</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Rebuild the “Supporting POS hardware” and “Printers and thermal rolls” panels as Rise content instead of flat images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text inside these images is far smaller than the 16pt body text, cannot be read by a screen reader, and uses a different font from the rest of the module.</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Show the full description on the Portable Printer card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description is clipped at the bottom of the card, so the sentence is cut off.</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“Present brief receipt information” to “Presents brief receipt information”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matching card next to it says “Presents detailed receipt information”.</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A1.12  Reader vs Terminal comparison</w:t>
      </w:r>
    </w:p>
    <w:p>
      <w:pPr>
        <w:spacing w:after="140" w:before="60"/>
        <w:jc w:val="center"/>
      </w:pPr>
      <w:r>
        <w:drawing>
          <wp:inline distT="0" distB="0" distL="0" distR="0">
            <wp:extent cx="6286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86500" cy="24193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Format this question as a Heading 2, like “Pricing” and “Ready-made Store Kits”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It starts a new section but is styled as bold body text, which breaks the heading order on the page.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“Which merchants would benefit from using the PayPal Reader compared with the PayPal Terminal?”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“What merchant” should be “Which merchants”, and “benefit” needs “from” before “using”.</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“The PayPal Terminal suits the following merchant profiles:”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“Merchants profiles” should be “merchant profiles”, and the future tense is not needed.</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“Mobile Retail Services” and “Table Service” to “Mobile retail services” and “Table service”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second list uses sentence case. Both lists must be capitalised the same way.</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Confirm that the two lists are the right way round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compact, mobile Reader is matched to fixed-counter and kiosk use, while the Terminal is matched to mobile services and events. This looks reversed — please verify against the source.</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Move the PayPal Reader list above the PayPal Terminal list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question names the Reader first, so the answer should follow the same order.</w:t>
      </w:r>
    </w:p>
    <w:p>
      <w:pPr>
        <w:spacing w:after="60" w:before="0"/>
        <w:ind w:left="200"/>
      </w:pPr>
      <w:r>
        <w:rPr>
          <w:rFonts w:ascii="Arial" w:cs="Arial" w:eastAsia="Arial" w:hAnsi="Arial"/>
          <w:b/>
          <w:bCs/>
          <w:color w:val="C00000"/>
          <w:sz w:val="21"/>
          <w:szCs w:val="21"/>
        </w:rPr>
        <w:t xml:space="preserve">7. </w:t>
      </w:r>
      <w:r>
        <w:rPr>
          <w:rFonts w:ascii="Arial" w:cs="Arial" w:eastAsia="Arial" w:hAnsi="Arial"/>
          <w:sz w:val="21"/>
          <w:szCs w:val="21"/>
        </w:rPr>
        <w:t xml:space="preserve">Change “Fixed location retail” to “Fixed-location retail”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Hyphenate a compound adjective before a noun.</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2 of 6 — Teammate View in Spark</w:t>
      </w:r>
    </w:p>
    <w:p>
      <w:pPr>
        <w:pStyle w:val="Heading2"/>
        <w:spacing w:after="140" w:before="240"/>
      </w:pPr>
      <w:r>
        <w:rPr>
          <w:rFonts w:ascii="Arial" w:cs="Arial" w:eastAsia="Arial" w:hAnsi="Arial"/>
          <w:b/>
          <w:bCs/>
          <w:color w:val="003087"/>
          <w:sz w:val="25"/>
          <w:szCs w:val="25"/>
        </w:rPr>
        <w:t xml:space="preserve">A2.1  Zettle Workflow — Spark</w:t>
      </w:r>
    </w:p>
    <w:p>
      <w:pPr>
        <w:spacing w:after="140" w:before="60"/>
        <w:jc w:val="center"/>
      </w:pPr>
      <w:r>
        <w:drawing>
          <wp:inline distT="0" distB="0" distL="0" distR="0">
            <wp:extent cx="6286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86500" cy="11239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“whether a merchant has applied for, activated, or deactivated Zettle”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“Applied Zettle” is not correct — the verb needs “for”. The Products Deep Dive module writes this sentence correctly.</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“using the following steps” to “by following these steps”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“Using the following steps” attaches to the wrong subject — it reads as though the account is using the steps.</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“Step one - Choose Zettle” to “Step 1: Choose Zettle”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hyphen is used where a colon belongs. Apply the same change to “Step two”.</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3 of 6 — Pairing/Troubleshooting</w:t>
      </w:r>
    </w:p>
    <w:p>
      <w:pPr>
        <w:pStyle w:val="Heading2"/>
        <w:spacing w:after="140" w:before="240"/>
      </w:pPr>
      <w:r>
        <w:rPr>
          <w:rFonts w:ascii="Arial" w:cs="Arial" w:eastAsia="Arial" w:hAnsi="Arial"/>
          <w:b/>
          <w:bCs/>
          <w:color w:val="003087"/>
          <w:sz w:val="25"/>
          <w:szCs w:val="25"/>
        </w:rPr>
        <w:t xml:space="preserve">A3.1  Pairing the PayPal Reader</w:t>
      </w:r>
    </w:p>
    <w:p>
      <w:pPr>
        <w:spacing w:after="140" w:before="60"/>
        <w:jc w:val="center"/>
      </w:pPr>
      <w:r>
        <w:drawing>
          <wp:inline distT="0" distB="0" distL="0" distR="0">
            <wp:extent cx="6286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86500" cy="26193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the lesson title “Pairing/Troubleshooting” to “Pairing and Troubleshooting”</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slash reads as “or” and is harder to scan. Spell out the connecting word.</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“Merchants can pair the PayPal Reader in two ways:”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is passive. Use active voice.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“depending on whether the merchant has the PayPal POS app installed”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“Depending on if” should be “depending on whether”, “or not” is unnecessary, and “Merchant” takes lower case.</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“If PayPal POS App is Not Installed” to “If the PayPal POS app is not installed”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Definite article is missing, and “Not Installed” should not be capitalised mid-sentence.</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“If PayPal POS App is Installed” to “If the PayPal POS app is installed”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Definite article is missing, and “App” takes lower case. The module uses both “App” and “app”.</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A3.2  QR Code Pairing Steps</w:t>
      </w:r>
    </w:p>
    <w:p>
      <w:pPr>
        <w:spacing w:after="140" w:before="60"/>
        <w:jc w:val="center"/>
      </w:pPr>
      <w:r>
        <w:drawing>
          <wp:inline distT="0" distB="0" distL="0" distR="0">
            <wp:extent cx="6286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86500" cy="28289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“a PayPal reader” to “the PayPal Reader”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Capitalise the product name consistently, and use the definite article as elsewhere in the lesson.</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“Log in to the PayPal POS app, or continue with the steps. If the app is not installed, install it from Google Play or the App Store.”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Steps 1, 2 and 6 are instructions, but steps 3, 4 and 5 describe what happens. Keep every step in the same form.</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“Play/App store” to “Google Play or the App Store”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slash hides two separate store names, and “App Store” is capitalised as an Apple brand.</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“After the merchant logs in, the system searches for the reader”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As written, the system does the logging in. The opening phrase attaches to the wrong subject.</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“A six digit code will display” to “A six-digit code will appear”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Hyphenate the compound adjective — the next list already writes “six-digit”. Also “display” needs an object; “appear” is correct here.</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Format this line as body text rather than a heading</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It is tagged as a heading but styled like body text, which breaks the heading order on the page.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A3.3  Alternative Pairing Method — Pair with Serial Number</w:t>
      </w:r>
    </w:p>
    <w:p>
      <w:pPr>
        <w:spacing w:after="140" w:before="60"/>
        <w:jc w:val="center"/>
      </w:pPr>
      <w:r>
        <w:drawing>
          <wp:inline distT="0" distB="0" distL="0" distR="0">
            <wp:extent cx="6286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286500" cy="42386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“they can still connect the reader to their device using the reader’s serial number”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possessive apostrophe is missing, and “through” should be “using”.</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“Log in to the PayPal POS app and go to Settings”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other steps are instructions. Also “logs into” should be “log in to” as a verb.</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“Locate and select “PayPal Reader”” to “Locate and select **PayPal Reader**” (in bold)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clickable actions are formatted in bold. Step 3 already bolds its UI label, so the two steps are inconsistent.</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Delete either this step or the six-digit step below it, and keep one code length</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Step 6 says three-digit and step 7 says six-digit for the same confirmation. The two steps contradict each other.</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Remove the blue colour from “three-digit code”, “six-digit code” and “blue confirm button”, and use bold instead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blue is the same colour as links, so learners will try to click text that is not clickable.</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to “Once the merchant selects the blue **confirm** button on the reader screen, the reader displays ‘Reader Paired’.”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“In the screen” should be “on the screen”, a comma is missing before “the Reader”, and “Reader” is repeated in the same clause.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A3.4  Resetting the PayPal Reader</w:t>
      </w:r>
    </w:p>
    <w:p>
      <w:pPr>
        <w:spacing w:after="40" w:before="60"/>
        <w:jc w:val="center"/>
      </w:pPr>
      <w:r>
        <w:drawing>
          <wp:inline distT="0" distB="0" distL="0" distR="0">
            <wp:extent cx="62865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86500" cy="5972175"/>
                    </a:xfrm>
                    <a:prstGeom prst="rect">
                      <a:avLst/>
                    </a:prstGeom>
                  </pic:spPr>
                </pic:pic>
              </a:graphicData>
            </a:graphic>
          </wp:inline>
        </w:drawing>
      </w:r>
    </w:p>
    <w:p>
      <w:pPr>
        <w:spacing w:after="140" w:before="60"/>
        <w:jc w:val="center"/>
      </w:pPr>
      <w:r>
        <w:drawing>
          <wp:inline distT="0" distB="0" distL="0" distR="0">
            <wp:extent cx="6286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86500" cy="19621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Remove the blue colour from “power button”, “No. 9 button” and “five seconds”, and use bold instead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blue is the link colour, so it suggests these words are clickable.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Use “No. 9” and “No. 3” consistently across the module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FAQ in Lesson 4 writes “no.3” with no capital and no space.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Replace the hand-drawn pointing-hand graphic with the icon style used elsewhere in the module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Every other visual in the module is a product photo or 3D render, so the sketch style is inconsistent.</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4 of 6 — FAQs and Resources</w:t>
      </w:r>
    </w:p>
    <w:p>
      <w:pPr>
        <w:pStyle w:val="Heading2"/>
        <w:spacing w:after="140" w:before="240"/>
      </w:pPr>
      <w:r>
        <w:rPr>
          <w:rFonts w:ascii="Arial" w:cs="Arial" w:eastAsia="Arial" w:hAnsi="Arial"/>
          <w:b/>
          <w:bCs/>
          <w:color w:val="003087"/>
          <w:sz w:val="25"/>
          <w:szCs w:val="25"/>
        </w:rPr>
        <w:t xml:space="preserve">A4.1  FAQ flashcards — card 1 of 10 (front)</w:t>
      </w:r>
    </w:p>
    <w:p>
      <w:pPr>
        <w:spacing w:after="140" w:before="60"/>
        <w:jc w:val="center"/>
      </w:pPr>
      <w:r>
        <w:drawing>
          <wp:inline distT="0" distB="0" distL="0" distR="0">
            <wp:extent cx="6286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86500" cy="17621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Add a lead line above the flashcards, for example “Flip through the cards below for answers to common merchant questions.”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requires a lead line before any interactive element, to connect it to the surrounding content. This interaction has none.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“Will the PayPal Reader replace the Zettle Reader 2?”</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“Deprecate” is technical jargon, and “reader” needs a capital as part of the product name.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A4.2  FAQ flashcards — card 1 of 10 (back)</w:t>
      </w:r>
    </w:p>
    <w:p>
      <w:pPr>
        <w:spacing w:after="140" w:before="60"/>
        <w:jc w:val="center"/>
      </w:pPr>
      <w:r>
        <w:drawing>
          <wp:inline distT="0" distB="0" distL="0" distR="0">
            <wp:extent cx="6286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286500" cy="15049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“removed from the PayPal POS web shop in the but will still be available for direct sales” to “removed from the PayPal POS web shop in [month/quarter] but will still be available for direct sales”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is incomplete — a date is missing after “in the”.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“Faulty Reader 2 units will be replaced with the same model until further notice.”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repeats “Reader 2” and reads as circular.</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A4.3  FAQ flashcards — card 2 of 10 (front)</w:t>
      </w:r>
    </w:p>
    <w:p>
      <w:pPr>
        <w:spacing w:after="140" w:before="60"/>
        <w:jc w:val="center"/>
      </w:pPr>
      <w:r>
        <w:drawing>
          <wp:inline distT="0" distB="0" distL="0" distR="0">
            <wp:extent cx="6286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286500" cy="10953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“Will Reader and the Dock” to “Will the Reader and the Dock”</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Definite article is missing before “Reader”.</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A4.4  FAQ flashcards — card 2 of 10 (back)</w:t>
      </w:r>
    </w:p>
    <w:p>
      <w:pPr>
        <w:spacing w:after="140" w:before="60"/>
        <w:jc w:val="center"/>
      </w:pPr>
      <w:r>
        <w:drawing>
          <wp:inline distT="0" distB="0" distL="0" distR="0">
            <wp:extent cx="628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286500" cy="914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“the merchant can choose between black and white”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 takes lower case, “will be able to” is simply “can”, and hyphenating “black-and-white” makes it read as monochrome rather than two separate colours.</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A4.5  FAQ flashcards — card 3 of 10 (front)</w:t>
      </w:r>
    </w:p>
    <w:p>
      <w:pPr>
        <w:spacing w:after="140" w:before="60"/>
        <w:jc w:val="center"/>
      </w:pPr>
      <w:r>
        <w:drawing>
          <wp:inline distT="0" distB="0" distL="0" distR="0">
            <wp:extent cx="6286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286500" cy="10953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“offer/discount” to “offer or discount”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slash reads as “or”. Spell out the connecting word.</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A4.6  FAQ flashcards — card 4 of 10 (back)</w:t>
      </w:r>
    </w:p>
    <w:p>
      <w:pPr>
        <w:spacing w:after="140" w:before="60"/>
        <w:jc w:val="center"/>
      </w:pPr>
      <w:r>
        <w:drawing>
          <wp:inline distT="0" distB="0" distL="0" distR="0">
            <wp:extent cx="628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286500" cy="7239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the answer “No” to “No, the PayPal Reader Dock cannot print receipts.”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other cards answer in full sentences.</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A4.7  FAQ flashcards — card 5 of 10 (front)</w:t>
      </w:r>
    </w:p>
    <w:p>
      <w:pPr>
        <w:spacing w:after="140" w:before="60"/>
        <w:jc w:val="center"/>
      </w:pPr>
      <w:r>
        <w:drawing>
          <wp:inline distT="0" distB="0" distL="0" distR="0">
            <wp:extent cx="628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286500" cy="914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“store/clean” to “store and clean”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slash reads as “or”. Spell out the connecting word.</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A4.8  FAQ flashcards — card 5 of 10 (back)</w:t>
      </w:r>
    </w:p>
    <w:p>
      <w:pPr>
        <w:spacing w:after="140" w:before="60"/>
        <w:jc w:val="center"/>
      </w:pPr>
      <w:r>
        <w:drawing>
          <wp:inline distT="0" distB="0" distL="0" distR="0">
            <wp:extent cx="6286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286500" cy="18002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“a cool dry place” to “a cool, dry place”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comma is needed between two adjectives that describe the same noun.</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“Clean the Reader’s exterior with a soft, damp cloth.”</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possessive apostrophe in “Reader’s” is missing, the article “a” is missing before “soft”, and the passive sentence reads better as an instruction.</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“Do not spray liquid directly onto the device, and keep its openings away from moisture.”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sentence starts in the passive and switches to an instruction halfway through.</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“the card Reader” to “the card reader” and “Ensure that” to “Make sure”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“Card Reader” has a capital in the middle of the term, and “ensure” is more formal than needed.</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Rewrite the whole answer as instructions: “Keep the PayPal Reader in a cool, dry place. Clean the exterior with a soft, damp cloth. Do not spray liquid onto the device or use solvents. Handle the reader carefully and avoid dropping it.”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answer is passive throughout and “avoid causing shock or negligent handling” is unclear. The style guide prefers active voice and simple instructions.</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A4.9  FAQ flashcards — card 6 of 10 (front)</w:t>
      </w:r>
    </w:p>
    <w:p>
      <w:pPr>
        <w:spacing w:after="140" w:before="60"/>
        <w:jc w:val="center"/>
      </w:pPr>
      <w:r>
        <w:drawing>
          <wp:inline distT="0" distB="0" distL="0" distR="0">
            <wp:extent cx="628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286500" cy="914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“how do you get more information about the error code?”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module addresses the learner as “you”, not “we”, and “info” is an informal shortening.</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A4.10  FAQ flashcards — card 6 of 10 (back)</w:t>
      </w:r>
    </w:p>
    <w:p>
      <w:pPr>
        <w:spacing w:after="140" w:before="60"/>
        <w:jc w:val="center"/>
      </w:pPr>
      <w:r>
        <w:drawing>
          <wp:inline distT="0" distB="0" distL="0" distR="0">
            <wp:extent cx="6286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286500" cy="20669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“to display the error code. Then ask the merchant for a photo of the code and their serial number to raise an SLS escalation.”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instructions are joined by a comma (comma splice).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“no.3” to “No. 3”</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“No.” needs a capital and a space after it, to match “No. 9” in Lesson 3.</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Spell out “SLS” on first use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Acronyms must be expanded the first time they appear. “SLS” is never explained.</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A4.11  FAQ flashcards — card 7 of 10 (front)</w:t>
      </w:r>
    </w:p>
    <w:p>
      <w:pPr>
        <w:spacing w:after="140" w:before="60"/>
        <w:jc w:val="center"/>
      </w:pPr>
      <w:r>
        <w:drawing>
          <wp:inline distT="0" distB="0" distL="0" distR="0">
            <wp:extent cx="628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286500" cy="914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“The merchant says the volume on their reader is too loud. Can they adjust it?”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sentences are joined by a comma (comma splice), and the sentence switches from “the merchant” to “a merchant” for the same person.</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A4.12  FAQ flashcards — card 7 of 10 (back)</w:t>
      </w:r>
    </w:p>
    <w:p>
      <w:pPr>
        <w:spacing w:after="140" w:before="60"/>
        <w:jc w:val="center"/>
      </w:pPr>
      <w:r>
        <w:drawing>
          <wp:inline distT="0" distB="0" distL="0" distR="0">
            <wp:extent cx="628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286500" cy="914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“to tell the merchant when a payment has been processed”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 takes lower case, and “if” should be “when” because the sound always follows a payment.</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A4.13  FAQ flashcards — card 8 of 10 (front)</w:t>
      </w:r>
    </w:p>
    <w:p>
      <w:pPr>
        <w:spacing w:after="140" w:before="60"/>
        <w:jc w:val="center"/>
      </w:pPr>
      <w:r>
        <w:drawing>
          <wp:inline distT="0" distB="0" distL="0" distR="0">
            <wp:extent cx="628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286500" cy="914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“a customer” to “a merchant”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Merchants sign up for POS, not customers. The rest of the module uses “merchant”.</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A4.14  FAQ flashcards — card 8 of 10 (back)</w:t>
      </w:r>
    </w:p>
    <w:p>
      <w:pPr>
        <w:spacing w:after="140" w:before="60"/>
        <w:jc w:val="center"/>
      </w:pPr>
      <w:r>
        <w:drawing>
          <wp:inline distT="0" distB="0" distL="0" distR="0">
            <wp:extent cx="628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286500" cy="7239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“PayPal.com/POS” to “paypal.com/pos”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Web addresses are written in lower case.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A4.15  FAQ flashcards — card 9 of 10 (back)</w:t>
      </w:r>
    </w:p>
    <w:p>
      <w:pPr>
        <w:spacing w:after="140" w:before="60"/>
        <w:jc w:val="center"/>
      </w:pPr>
      <w:r>
        <w:drawing>
          <wp:inline distT="0" distB="0" distL="0" distR="0">
            <wp:extent cx="628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286500" cy="7239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“Yes, Transfer” to “Yes, transfer the merchant to the Zettle team.”</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“Transfer” has a capital in the middle of a sentence, there is no full stop, and the other cards answer in full sentences.</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A4.16  FAQ flashcards — card 10 of 10 (front)</w:t>
      </w:r>
    </w:p>
    <w:p>
      <w:pPr>
        <w:spacing w:after="140" w:before="60"/>
        <w:jc w:val="center"/>
      </w:pPr>
      <w:r>
        <w:drawing>
          <wp:inline distT="0" distB="0" distL="0" distR="0">
            <wp:extent cx="628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286500" cy="914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“the PayPal V3 Reader” to “the PayPal Reader (V3)”</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Match the product name used in the rest of the module.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A4.17  FAQ flashcards — card 10 of 10 (back)</w:t>
      </w:r>
    </w:p>
    <w:p>
      <w:pPr>
        <w:spacing w:after="140" w:before="60"/>
        <w:jc w:val="center"/>
      </w:pPr>
      <w:r>
        <w:drawing>
          <wp:inline distT="0" distB="0" distL="0" distR="0">
            <wp:extent cx="628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286500" cy="914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“the process is exactly the same as it is for the Zettle Reader 2”</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As written, a process is compared with a product. The comparison is incomplete.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A4.18  Bundle pricing FAQ and Resources list</w:t>
      </w:r>
    </w:p>
    <w:p>
      <w:pPr>
        <w:spacing w:after="140" w:before="60"/>
        <w:jc w:val="center"/>
      </w:pPr>
      <w:r>
        <w:drawing>
          <wp:inline distT="0" distB="0" distL="0" distR="0">
            <wp:extent cx="62865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286500" cy="43624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“dock” to “Dock”</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“Dock” is capitalised elsewhere as part of the product name.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Move this FAQ into the flashcard set, or move all the FAQs out of the flashcards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One FAQ is presented as a heading and table while the other ten are flashcards. The presentation is inconsistent.</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“The current pricing is as follows:”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“Please see … as follows” is wordy.</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“PayPal Reader (V3) (FRD)” to “PayPal Reader (V3) — First Reader Discount”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“FRD” is never explained anywhere in the module.</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“TEAM1943 - PayPal Point of Sale (Zettle)” to “TEAM1943: PayPal Point of Sale (Zettle)”, and do the same for all five resources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hyphen is used where a colon belongs.</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to “What is the card reader, what are its accessories, and how do I order them?”</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questions are run together and the second one starts with “And”.</w:t>
      </w:r>
    </w:p>
    <w:p>
      <w:pPr>
        <w:spacing w:after="60" w:before="0"/>
        <w:ind w:left="200"/>
      </w:pPr>
      <w:r>
        <w:rPr>
          <w:rFonts w:ascii="Arial" w:cs="Arial" w:eastAsia="Arial" w:hAnsi="Arial"/>
          <w:b/>
          <w:bCs/>
          <w:color w:val="C00000"/>
          <w:sz w:val="21"/>
          <w:szCs w:val="21"/>
        </w:rPr>
        <w:t xml:space="preserve">7. </w:t>
      </w:r>
      <w:r>
        <w:rPr>
          <w:rFonts w:ascii="Arial" w:cs="Arial" w:eastAsia="Arial" w:hAnsi="Arial"/>
          <w:sz w:val="21"/>
          <w:szCs w:val="21"/>
        </w:rPr>
        <w:t xml:space="preserve">Change “Zettle/ Point of Sale Glossary” to “Zettle and Point of Sale Glossary”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There is a stray space after the slash, and a slash reads as “or”.</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5 of 6 — Quiz</w:t>
      </w:r>
    </w:p>
    <w:p>
      <w:pPr>
        <w:pStyle w:val="Heading2"/>
        <w:spacing w:after="140" w:before="240"/>
      </w:pPr>
      <w:r>
        <w:rPr>
          <w:rFonts w:ascii="Arial" w:cs="Arial" w:eastAsia="Arial" w:hAnsi="Arial"/>
          <w:b/>
          <w:bCs/>
          <w:color w:val="003087"/>
          <w:sz w:val="25"/>
          <w:szCs w:val="25"/>
        </w:rPr>
        <w:t xml:space="preserve">A5.1  Quiz introduction</w:t>
      </w:r>
    </w:p>
    <w:p>
      <w:pPr>
        <w:spacing w:after="140" w:before="60"/>
        <w:jc w:val="center"/>
      </w:pPr>
      <w:r>
        <w:drawing>
          <wp:inline distT="0" distB="0" distL="0" distR="0">
            <wp:extent cx="6286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286500" cy="13430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“This quiz comprises 4 questions.” to “Answer all four questions”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problems. Parallelism — the other two bullets are instructions (“Read each question carefully”, “Use any tools…”) while this one is a statement. Also numbers one to nine are spelled out.</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Remove the full stops from all three bullets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bulleted lists in training modules should not end with periods.</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the pass mark to 75%, or add a fifth question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With four questions, the only score above 85% is 100%, so the stated pass mark is effectively “every answer correct”.</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A5.2  Question 1 of 4</w:t>
      </w:r>
    </w:p>
    <w:p>
      <w:pPr>
        <w:spacing w:after="140" w:before="60"/>
        <w:jc w:val="center"/>
      </w:pPr>
      <w:r>
        <w:drawing>
          <wp:inline distT="0" distB="0" distL="0" distR="0">
            <wp:extent cx="628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286500" cy="13906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“from the list below” to “from the options below”</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Products Deep Dive module uses “from the options below”. Use one wording across the curriculum.</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“Comes free of cost” to “Comes free of charge”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“Free of cost” is not standard English.</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“No magnet strip” in Lesson 1 to “No magnetic stripe” so it matches this option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lesson and the quiz use different terms for the same thing.</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A5.3  Question 2 of 4</w:t>
      </w:r>
    </w:p>
    <w:p>
      <w:pPr>
        <w:spacing w:after="140" w:before="60"/>
        <w:jc w:val="center"/>
      </w:pPr>
      <w:r>
        <w:drawing>
          <wp:inline distT="0" distB="0" distL="0" distR="0">
            <wp:extent cx="6286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286500" cy="15811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“a customer” to “a merchant”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Merchants sign up for POS, not customers.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Add two more answer options to this question, and replace “Square.com” with a PayPal address such as “paypal.com/business”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This question offers only two options while the other three offer four. Naming a competitor as the only wrong answer also makes the question too easy.</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A5.4  Questions 3 and 4, and feedback</w:t>
      </w:r>
    </w:p>
    <w:p>
      <w:pPr>
        <w:spacing w:after="140" w:before="60"/>
        <w:jc w:val="center"/>
      </w:pPr>
      <w:r>
        <w:drawing>
          <wp:inline distT="0" distB="0" distL="0" distR="0">
            <wp:extent cx="6286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286500" cy="34290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“What happens if the PayPal POS app is not installed when the merchant scans the QR code?”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As written, no one is doing the scanning — the phrase attaches to the wrong subject. Also “app” takes lower case.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“or app store” to “or the app store”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Definite article is missing.</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“cancelled” to “canceled”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requires American English spelling.</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Add specific feedback for each question explaining why the answer is right or wrong</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Every question shows the same generic message, so a learner who answers incorrectly is told nothing that helps them learn.</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6 of 6 — Summary</w:t>
      </w:r>
    </w:p>
    <w:p>
      <w:pPr>
        <w:pStyle w:val="Heading2"/>
        <w:spacing w:after="140" w:before="240"/>
      </w:pPr>
      <w:r>
        <w:rPr>
          <w:rFonts w:ascii="Arial" w:cs="Arial" w:eastAsia="Arial" w:hAnsi="Arial"/>
          <w:b/>
          <w:bCs/>
          <w:color w:val="003087"/>
          <w:sz w:val="25"/>
          <w:szCs w:val="25"/>
        </w:rPr>
        <w:t xml:space="preserve">A6.1  Wrap-Up</w:t>
      </w:r>
    </w:p>
    <w:p>
      <w:pPr>
        <w:spacing w:after="140" w:before="60"/>
        <w:jc w:val="center"/>
      </w:pPr>
      <w:r>
        <w:drawing>
          <wp:inline distT="0" distB="0" distL="0" distR="0">
            <wp:extent cx="6286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286500" cy="3200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“You should be able to:” to “You should now be able to:”</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sets this exact wrap-up phrase. The word “now” is missing.</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Make the Wrap-Up bullets word-for-word identical to the Objectives bullets in Lesson 1</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Objective 2 in Lesson 1 says “enables merchant” and objective 4 says “a merchant”, while the Wrap-Up says “merchants” in both.</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Format “EXIT MODULE” in bold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clickable actions are formatted in bold.</w:t>
      </w:r>
    </w:p>
    <w:p>
      <w:r>
        <w:br w:type="page"/>
      </w:r>
    </w:p>
    <w:p>
      <w:pPr>
        <w:pStyle w:val="Heading1"/>
        <w:spacing w:after="140" w:before="320"/>
      </w:pPr>
      <w:r>
        <w:rPr>
          <w:rFonts w:ascii="Arial" w:cs="Arial" w:eastAsia="Arial" w:hAnsi="Arial"/>
          <w:b/>
          <w:bCs/>
          <w:color w:val="003087"/>
          <w:sz w:val="30"/>
          <w:szCs w:val="30"/>
        </w:rPr>
        <w:t xml:space="preserve">Other observations</w:t>
      </w:r>
    </w:p>
    <w:p>
      <w:pPr>
        <w:spacing w:after="100" w:before="0"/>
      </w:pPr>
      <w:r>
        <w:rPr>
          <w:rFonts w:ascii="Arial" w:cs="Arial" w:eastAsia="Arial" w:hAnsi="Arial"/>
          <w:i/>
          <w:iCs/>
          <w:color w:val="595959"/>
          <w:sz w:val="21"/>
          <w:szCs w:val="21"/>
        </w:rPr>
        <w:t xml:space="preserve">These items sit outside the numbered, screen-by-screen findings. They are module-wide patterns, instructional-design notes, or points that need someone else to confirm a fact.</w:t>
      </w:r>
    </w:p>
    <w:p>
      <w:pPr>
        <w:spacing w:after="60" w:before="0"/>
      </w:pPr>
      <w:r>
        <w:rPr>
          <w:rFonts w:ascii="Arial" w:cs="Arial" w:eastAsia="Arial" w:hAnsi="Arial"/>
          <w:b/>
          <w:bCs/>
          <w:color w:val="C00000"/>
          <w:sz w:val="21"/>
          <w:szCs w:val="21"/>
        </w:rPr>
        <w:t xml:space="preserve">1. </w:t>
      </w:r>
      <w:r>
        <w:rPr>
          <w:rFonts w:ascii="Arial" w:cs="Arial" w:eastAsia="Arial" w:hAnsi="Arial"/>
          <w:b/>
          <w:bCs/>
          <w:sz w:val="21"/>
          <w:szCs w:val="21"/>
        </w:rPr>
        <w:t xml:space="preserve">Theme accent colour is off-palette</w:t>
      </w:r>
    </w:p>
    <w:p>
      <w:pPr>
        <w:spacing w:after="200" w:before="0"/>
        <w:ind w:left="200"/>
      </w:pPr>
      <w:r>
        <w:rPr>
          <w:rFonts w:ascii="Arial" w:cs="Arial" w:eastAsia="Arial" w:hAnsi="Arial"/>
          <w:sz w:val="21"/>
          <w:szCs w:val="21"/>
        </w:rPr>
        <w:t xml:space="preserve">The module uses #008CFF for the top navigation bar, table headers and emphasis text, and #0070CC for the lesson bar. Neither is in the brand palette (White #FFFFFF, Black #000000, PayPal Blue #003087, Bright Blue #60CDFF). The lesson header band #60CDFF is correct. The Products Deep Dive module uses PayPal Blue #003087 for its table header, so the two modules do not match.</w:t>
      </w:r>
    </w:p>
    <w:p>
      <w:pPr>
        <w:spacing w:after="60" w:before="0"/>
      </w:pPr>
      <w:r>
        <w:rPr>
          <w:rFonts w:ascii="Arial" w:cs="Arial" w:eastAsia="Arial" w:hAnsi="Arial"/>
          <w:b/>
          <w:bCs/>
          <w:color w:val="C00000"/>
          <w:sz w:val="21"/>
          <w:szCs w:val="21"/>
        </w:rPr>
        <w:t xml:space="preserve">2. </w:t>
      </w:r>
      <w:r>
        <w:rPr>
          <w:rFonts w:ascii="Arial" w:cs="Arial" w:eastAsia="Arial" w:hAnsi="Arial"/>
          <w:b/>
          <w:bCs/>
          <w:sz w:val="21"/>
          <w:szCs w:val="21"/>
        </w:rPr>
        <w:t xml:space="preserve">Table body text is not pure black</w:t>
      </w:r>
    </w:p>
    <w:p>
      <w:pPr>
        <w:spacing w:after="200" w:before="0"/>
        <w:ind w:left="200"/>
      </w:pPr>
      <w:r>
        <w:rPr>
          <w:rFonts w:ascii="Arial" w:cs="Arial" w:eastAsia="Arial" w:hAnsi="Arial"/>
          <w:sz w:val="21"/>
          <w:szCs w:val="21"/>
        </w:rPr>
        <w:t xml:space="preserve">Text inside the pricing tables renders at #1B1C1C rather than the #000000 specified in the palette.</w:t>
      </w:r>
    </w:p>
    <w:p>
      <w:pPr>
        <w:spacing w:after="60" w:before="0"/>
      </w:pPr>
      <w:r>
        <w:rPr>
          <w:rFonts w:ascii="Arial" w:cs="Arial" w:eastAsia="Arial" w:hAnsi="Arial"/>
          <w:b/>
          <w:bCs/>
          <w:color w:val="C00000"/>
          <w:sz w:val="21"/>
          <w:szCs w:val="21"/>
        </w:rPr>
        <w:t xml:space="preserve">3. </w:t>
      </w:r>
      <w:r>
        <w:rPr>
          <w:rFonts w:ascii="Arial" w:cs="Arial" w:eastAsia="Arial" w:hAnsi="Arial"/>
          <w:b/>
          <w:bCs/>
          <w:sz w:val="21"/>
          <w:szCs w:val="21"/>
        </w:rPr>
        <w:t xml:space="preserve">Lesson 2 is very thin</w:t>
      </w:r>
    </w:p>
    <w:p>
      <w:pPr>
        <w:spacing w:after="200" w:before="0"/>
        <w:ind w:left="200"/>
      </w:pPr>
      <w:r>
        <w:rPr>
          <w:rFonts w:ascii="Arial" w:cs="Arial" w:eastAsia="Arial" w:hAnsi="Arial"/>
          <w:sz w:val="21"/>
          <w:szCs w:val="21"/>
        </w:rPr>
        <w:t xml:space="preserve">“Teammate View in Spark” contains only two steps and three screenshots. Consider adding what a teammate should do for each of the three statuses (Not Applied, Activated, Deactivated).</w:t>
      </w:r>
    </w:p>
    <w:p>
      <w:pPr>
        <w:spacing w:after="60" w:before="0"/>
      </w:pPr>
      <w:r>
        <w:rPr>
          <w:rFonts w:ascii="Arial" w:cs="Arial" w:eastAsia="Arial" w:hAnsi="Arial"/>
          <w:b/>
          <w:bCs/>
          <w:color w:val="C00000"/>
          <w:sz w:val="21"/>
          <w:szCs w:val="21"/>
        </w:rPr>
        <w:t xml:space="preserve">4. </w:t>
      </w:r>
      <w:r>
        <w:rPr>
          <w:rFonts w:ascii="Arial" w:cs="Arial" w:eastAsia="Arial" w:hAnsi="Arial"/>
          <w:b/>
          <w:bCs/>
          <w:sz w:val="21"/>
          <w:szCs w:val="21"/>
        </w:rPr>
        <w:t xml:space="preserve">Objectives use unobservable verbs</w:t>
      </w:r>
    </w:p>
    <w:p>
      <w:pPr>
        <w:spacing w:after="200" w:before="0"/>
        <w:ind w:left="200"/>
      </w:pPr>
      <w:r>
        <w:rPr>
          <w:rFonts w:ascii="Arial" w:cs="Arial" w:eastAsia="Arial" w:hAnsi="Arial"/>
          <w:sz w:val="21"/>
          <w:szCs w:val="21"/>
        </w:rPr>
        <w:t xml:space="preserve">“Remember” and “Understand” cannot be observed or assessed. Consider replacing them with verbs that describe what the learner will do, such as “List” and “Describe”.</w:t>
      </w:r>
    </w:p>
    <w:p>
      <w:pPr>
        <w:spacing w:after="60" w:before="0"/>
      </w:pPr>
      <w:r>
        <w:rPr>
          <w:rFonts w:ascii="Arial" w:cs="Arial" w:eastAsia="Arial" w:hAnsi="Arial"/>
          <w:b/>
          <w:bCs/>
          <w:color w:val="C00000"/>
          <w:sz w:val="21"/>
          <w:szCs w:val="21"/>
        </w:rPr>
        <w:t xml:space="preserve">5. </w:t>
      </w:r>
      <w:r>
        <w:rPr>
          <w:rFonts w:ascii="Arial" w:cs="Arial" w:eastAsia="Arial" w:hAnsi="Arial"/>
          <w:b/>
          <w:bCs/>
          <w:sz w:val="21"/>
          <w:szCs w:val="21"/>
        </w:rPr>
        <w:t xml:space="preserve">Quiz results wording</w:t>
      </w:r>
    </w:p>
    <w:p>
      <w:pPr>
        <w:spacing w:after="200" w:before="0"/>
        <w:ind w:left="200"/>
      </w:pPr>
      <w:r>
        <w:rPr>
          <w:rFonts w:ascii="Arial" w:cs="Arial" w:eastAsia="Arial" w:hAnsi="Arial"/>
          <w:sz w:val="21"/>
          <w:szCs w:val="21"/>
        </w:rPr>
        <w:t xml:space="preserve">The results screen says “Failed”. The style guide asks for an empathetic, encouraging tone — consider “Not passed — try again” if the Rise label can be customised.</w:t>
      </w:r>
    </w:p>
    <w:p>
      <w:pPr>
        <w:spacing w:after="60" w:before="0"/>
      </w:pPr>
      <w:r>
        <w:rPr>
          <w:rFonts w:ascii="Arial" w:cs="Arial" w:eastAsia="Arial" w:hAnsi="Arial"/>
          <w:b/>
          <w:bCs/>
          <w:color w:val="C00000"/>
          <w:sz w:val="21"/>
          <w:szCs w:val="21"/>
        </w:rPr>
        <w:t xml:space="preserve">6. </w:t>
      </w:r>
      <w:r>
        <w:rPr>
          <w:rFonts w:ascii="Arial" w:cs="Arial" w:eastAsia="Arial" w:hAnsi="Arial"/>
          <w:b/>
          <w:bCs/>
          <w:sz w:val="21"/>
          <w:szCs w:val="21"/>
        </w:rPr>
        <w:t xml:space="preserve">Cross-module consistency</w:t>
      </w:r>
    </w:p>
    <w:p>
      <w:pPr>
        <w:spacing w:after="200" w:before="0"/>
        <w:ind w:left="200"/>
      </w:pPr>
      <w:r>
        <w:rPr>
          <w:rFonts w:ascii="Arial" w:cs="Arial" w:eastAsia="Arial" w:hAnsi="Arial"/>
          <w:sz w:val="21"/>
          <w:szCs w:val="21"/>
        </w:rPr>
        <w:t xml:space="preserve">This module writes “In-Person Payments” (hyphenated); Products Deep Dive writes “In Person Payments”. This module’s quiz says “from the list below”; the other says “from the options below”. Both modules omit “now” from the wrap-up phrase, and neither expands “BRE”.</w:t>
      </w:r>
    </w:p>
    <w:p>
      <w:pPr>
        <w:spacing w:after="60" w:before="0"/>
      </w:pPr>
      <w:r>
        <w:rPr>
          <w:rFonts w:ascii="Arial" w:cs="Arial" w:eastAsia="Arial" w:hAnsi="Arial"/>
          <w:b/>
          <w:bCs/>
          <w:color w:val="C00000"/>
          <w:sz w:val="21"/>
          <w:szCs w:val="21"/>
        </w:rPr>
        <w:t xml:space="preserve">7. </w:t>
      </w:r>
      <w:r>
        <w:rPr>
          <w:rFonts w:ascii="Arial" w:cs="Arial" w:eastAsia="Arial" w:hAnsi="Arial"/>
          <w:b/>
          <w:bCs/>
          <w:sz w:val="21"/>
          <w:szCs w:val="21"/>
        </w:rPr>
        <w:t xml:space="preserve">Video playback could not be verified</w:t>
      </w:r>
    </w:p>
    <w:p>
      <w:pPr>
        <w:spacing w:after="200" w:before="0"/>
        <w:ind w:left="200"/>
      </w:pPr>
      <w:r>
        <w:rPr>
          <w:rFonts w:ascii="Arial" w:cs="Arial" w:eastAsia="Arial" w:hAnsi="Arial"/>
          <w:sz w:val="21"/>
          <w:szCs w:val="21"/>
        </w:rPr>
        <w:t xml:space="preserve">The self-hosted MP4 videos would not play in the audit browser, although the files themselves are served correctly. This is a limitation of the audit environment, not a defect in the module. Please confirm playback manually. The embedded YouTube videos played normally.</w:t>
      </w:r>
    </w:p>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595959"/>
        <w:sz w:val="16"/>
        <w:szCs w:val="16"/>
      </w:rPr>
      <w:t xml:space="preserve">CQA audit — In-Person Payments with PayPal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94677d1fbaddac1d9dd1573acbcf16a6493ef5.png"/><Relationship Id="rId10" Type="http://schemas.openxmlformats.org/officeDocument/2006/relationships/image" Target="media/8f06e48215b83d2b4fb92dff411560ca6121d141.png"/><Relationship Id="rId11" Type="http://schemas.openxmlformats.org/officeDocument/2006/relationships/image" Target="media/626d3ae16868702c83cf7bc6d74d4de75527a708.png"/><Relationship Id="rId12" Type="http://schemas.openxmlformats.org/officeDocument/2006/relationships/image" Target="media/e6062f4d1413d828738fb2a1742f5dfaf7830751.png"/><Relationship Id="rId13" Type="http://schemas.openxmlformats.org/officeDocument/2006/relationships/image" Target="media/7f8a84f3ccb040c077b7f6686cd1bffaf06104bf.png"/><Relationship Id="rId14" Type="http://schemas.openxmlformats.org/officeDocument/2006/relationships/image" Target="media/3cb0f09b76a7ca553cdb8eaa1ccdf6caf0de8a47.png"/><Relationship Id="rId15" Type="http://schemas.openxmlformats.org/officeDocument/2006/relationships/image" Target="media/c5f97da3b3ee121a2adba37f9e4e4c0cc3b37e0b.png"/><Relationship Id="rId16" Type="http://schemas.openxmlformats.org/officeDocument/2006/relationships/image" Target="media/459b99b0e25b521547eec94e1be9aa9fca4d6ce8.png"/><Relationship Id="rId17" Type="http://schemas.openxmlformats.org/officeDocument/2006/relationships/image" Target="media/167b0fa3b0159649fbcea9b81f56fc3951bb92d1.png"/><Relationship Id="rId18" Type="http://schemas.openxmlformats.org/officeDocument/2006/relationships/image" Target="media/a7a36bfd565c2b42a459856ec5c67af0e6e9b07d.png"/><Relationship Id="rId19" Type="http://schemas.openxmlformats.org/officeDocument/2006/relationships/image" Target="media/bea56b9e341a0ba7f912b533b393f9006d26058b.png"/><Relationship Id="rId20" Type="http://schemas.openxmlformats.org/officeDocument/2006/relationships/image" Target="media/59bb0ded572bbf7181bf8c713561da40ee376753.png"/><Relationship Id="rId21" Type="http://schemas.openxmlformats.org/officeDocument/2006/relationships/image" Target="media/db054963b455ae52b111c1a7603ed452c40402b2.png"/><Relationship Id="rId22" Type="http://schemas.openxmlformats.org/officeDocument/2006/relationships/image" Target="media/4509769e5a5d6387fe29bb910c6bbbb87c1fe627.png"/><Relationship Id="rId23" Type="http://schemas.openxmlformats.org/officeDocument/2006/relationships/image" Target="media/02d299bf6060996f6d15f00c51286d93f52b6539.png"/><Relationship Id="rId24" Type="http://schemas.openxmlformats.org/officeDocument/2006/relationships/image" Target="media/9f5cda755813436581dc02a3a4f0c4e9fe8a49b1.png"/><Relationship Id="rId25" Type="http://schemas.openxmlformats.org/officeDocument/2006/relationships/image" Target="media/b79a5e83b52e8fd31d3393513f68e4961bdeeab4.png"/><Relationship Id="rId26" Type="http://schemas.openxmlformats.org/officeDocument/2006/relationships/image" Target="media/69bf6ba616969875195ed361ba2c891c4612044b.png"/><Relationship Id="rId27" Type="http://schemas.openxmlformats.org/officeDocument/2006/relationships/image" Target="media/7a845e8e7c2a463477cebee89819a038dd5ac7e3.png"/><Relationship Id="rId28" Type="http://schemas.openxmlformats.org/officeDocument/2006/relationships/image" Target="media/9542fa35dba55e70e707fd914e5996f3b18c5c3d.png"/><Relationship Id="rId29" Type="http://schemas.openxmlformats.org/officeDocument/2006/relationships/image" Target="media/1ad7e11a0dcfc65312a9169561dce56bb705f58f.png"/><Relationship Id="rId30" Type="http://schemas.openxmlformats.org/officeDocument/2006/relationships/image" Target="media/698bbcc9571a03cc8ec52f6dc3807310ce23bde6.png"/><Relationship Id="rId31" Type="http://schemas.openxmlformats.org/officeDocument/2006/relationships/image" Target="media/c7c61d3dea77f4ebceb4ab53edf6bbd02f31ed40.png"/><Relationship Id="rId32" Type="http://schemas.openxmlformats.org/officeDocument/2006/relationships/image" Target="media/018839d44bbf22609a2619b80057c36d03b50c7f.png"/><Relationship Id="rId33" Type="http://schemas.openxmlformats.org/officeDocument/2006/relationships/image" Target="media/486ef1209017e4b59a80ac10cce42ceb9aef7105.png"/><Relationship Id="rId34" Type="http://schemas.openxmlformats.org/officeDocument/2006/relationships/image" Target="media/40d6b2553950d4c86e018a215053b9cced9653dd.png"/><Relationship Id="rId35" Type="http://schemas.openxmlformats.org/officeDocument/2006/relationships/image" Target="media/4fb4f76284fc6116d48bce2e4703b48f7d711fe0.png"/><Relationship Id="rId36" Type="http://schemas.openxmlformats.org/officeDocument/2006/relationships/image" Target="media/c77beb37d5bd1d2e557ea4fe0fce23ae95ff84b4.png"/><Relationship Id="rId37" Type="http://schemas.openxmlformats.org/officeDocument/2006/relationships/image" Target="media/fa98a06b648e977e88c11daa5b6a9a32561944e7.png"/><Relationship Id="rId38" Type="http://schemas.openxmlformats.org/officeDocument/2006/relationships/image" Target="media/b50689c6ce7cc307849b3e912fa7675f75869aa9.png"/><Relationship Id="rId39" Type="http://schemas.openxmlformats.org/officeDocument/2006/relationships/image" Target="media/3b87072ae163357b0fcba88c15190912a7f99bf8.png"/><Relationship Id="rId40" Type="http://schemas.openxmlformats.org/officeDocument/2006/relationships/image" Target="media/6aa71053190cd93b76d994f0cc9774150f9c8274.png"/><Relationship Id="rId41" Type="http://schemas.openxmlformats.org/officeDocument/2006/relationships/image" Target="media/5ff62a532b066ca22011ca34f530125d05636c19.png"/><Relationship Id="rId42" Type="http://schemas.openxmlformats.org/officeDocument/2006/relationships/image" Target="media/e05abe58dd9bddbba6d7a7bebb2d86ed5b9e72b1.png"/><Relationship Id="rId43" Type="http://schemas.openxmlformats.org/officeDocument/2006/relationships/image" Target="media/c487fe260411b26ca4b11414d2fd553ad4a2f021.png"/><Relationship Id="rId44" Type="http://schemas.openxmlformats.org/officeDocument/2006/relationships/image" Target="media/d3d136ed5af5fc2b356470985a1d734e6fc9c251.png"/><Relationship Id="rId45" Type="http://schemas.openxmlformats.org/officeDocument/2006/relationships/image" Target="media/c71bb35cf08bb502c8109ebf4d7047e61927a806.png"/><Relationship Id="rId46" Type="http://schemas.openxmlformats.org/officeDocument/2006/relationships/image" Target="media/f7bf554c1ffe5240f27e6056ae3db502a1bcefb2.png"/><Relationship Id="rId47" Type="http://schemas.openxmlformats.org/officeDocument/2006/relationships/image" Target="media/86d695593563a484422fd5ca038d03962a55d4d3.png"/><Relationship Id="rId48" Type="http://schemas.openxmlformats.org/officeDocument/2006/relationships/image" Target="media/d2648200fb3a6022eaea693693571ec929591270.png"/><Relationship Id="rId49" Type="http://schemas.openxmlformats.org/officeDocument/2006/relationships/image" Target="media/1d8d95ca44bdb85a2a3a22e1ea2c2168e169491e.png"/><Relationship Id="rId50" Type="http://schemas.openxmlformats.org/officeDocument/2006/relationships/image" Target="media/adf577d11383676501b8d93a23ee50072ba7457c.png"/><Relationship Id="rId51" Type="http://schemas.openxmlformats.org/officeDocument/2006/relationships/image" Target="media/25ffe9d7998b4c3e68f2e28aac261caedf0504e8.png"/><Relationship Id="rId52" Type="http://schemas.openxmlformats.org/officeDocument/2006/relationships/image" Target="media/2a76ba7d80f82a75a791899795f29c28b1f516bb.png"/><Relationship Id="rId53" Type="http://schemas.openxmlformats.org/officeDocument/2006/relationships/image" Target="media/8224b8334a9fe869b37fadf08cf990ec7cfbfe78.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CQA audit — In-Person Payments with PayPal</dc:title>
  <dc:creator>CQA review</dc:creator>
  <cp:lastModifiedBy>Un-named</cp:lastModifiedBy>
  <cp:revision>1</cp:revision>
  <dcterms:created xsi:type="dcterms:W3CDTF">2026-08-03T08:04:56.541Z</dcterms:created>
  <dcterms:modified xsi:type="dcterms:W3CDTF">2026-08-03T08:04:56.541Z</dcterms:modified>
</cp:coreProperties>
</file>

<file path=docProps/custom.xml><?xml version="1.0" encoding="utf-8"?>
<Properties xmlns="http://schemas.openxmlformats.org/officeDocument/2006/custom-properties" xmlns:vt="http://schemas.openxmlformats.org/officeDocument/2006/docPropsVTypes"/>
</file>