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64129" w14:textId="77777777" w:rsidR="005F6459" w:rsidRDefault="005F6459" w:rsidP="005F6459">
      <w:pPr>
        <w:keepNext/>
        <w:spacing w:after="0" w:line="240" w:lineRule="auto"/>
        <w:outlineLvl w:val="1"/>
        <w:rPr>
          <w:rFonts w:ascii="Arial" w:eastAsia="Times New Roman" w:hAnsi="Arial" w:cs="Times New Roman"/>
          <w:b/>
          <w:sz w:val="40"/>
          <w:szCs w:val="20"/>
        </w:rPr>
      </w:pPr>
      <w:r>
        <w:rPr>
          <w:rFonts w:ascii="Arial" w:eastAsia="Times New Roman" w:hAnsi="Arial" w:cs="Times New Roman"/>
          <w:b/>
          <w:sz w:val="40"/>
          <w:szCs w:val="20"/>
        </w:rPr>
        <w:t>WOMEN’S HEALTHCARE ASSOCIATES, LLC</w:t>
      </w:r>
    </w:p>
    <w:p w14:paraId="4B9EC206" w14:textId="77777777" w:rsidR="005F6459" w:rsidRDefault="005F6459" w:rsidP="005F6459">
      <w:pPr>
        <w:spacing w:after="0" w:line="240" w:lineRule="auto"/>
        <w:rPr>
          <w:rFonts w:ascii="Arial" w:eastAsia="Times New Roman" w:hAnsi="Arial" w:cs="Arial"/>
          <w:sz w:val="20"/>
          <w:szCs w:val="20"/>
        </w:rPr>
      </w:pPr>
    </w:p>
    <w:p w14:paraId="24862B09" w14:textId="77777777" w:rsidR="005F6459" w:rsidRDefault="005F6459" w:rsidP="005F6459">
      <w:pPr>
        <w:spacing w:after="0" w:line="240" w:lineRule="auto"/>
        <w:rPr>
          <w:rFonts w:ascii="Arial" w:eastAsia="Times New Roman" w:hAnsi="Arial" w:cs="Arial"/>
          <w:sz w:val="20"/>
          <w:szCs w:val="20"/>
        </w:rPr>
      </w:pPr>
    </w:p>
    <w:p w14:paraId="4A2DBD5A" w14:textId="77777777" w:rsidR="005F6459" w:rsidRDefault="005F6459" w:rsidP="005F6459">
      <w:pPr>
        <w:tabs>
          <w:tab w:val="left" w:pos="1440"/>
          <w:tab w:val="left" w:pos="1620"/>
          <w:tab w:val="right" w:pos="8640"/>
        </w:tabs>
        <w:spacing w:after="0" w:line="240" w:lineRule="auto"/>
        <w:rPr>
          <w:rFonts w:ascii="Arial" w:eastAsia="Times New Roman" w:hAnsi="Arial" w:cs="Times New Roman"/>
          <w:b/>
          <w:sz w:val="20"/>
          <w:szCs w:val="20"/>
        </w:rPr>
      </w:pPr>
      <w:r>
        <w:rPr>
          <w:rFonts w:ascii="Arial" w:eastAsia="Times New Roman" w:hAnsi="Arial" w:cs="Times New Roman"/>
          <w:b/>
          <w:sz w:val="20"/>
          <w:szCs w:val="20"/>
        </w:rPr>
        <w:t xml:space="preserve">TITLE: </w:t>
      </w:r>
      <w:r>
        <w:rPr>
          <w:rFonts w:ascii="Arial" w:eastAsia="Times New Roman" w:hAnsi="Arial" w:cs="Times New Roman"/>
          <w:b/>
          <w:sz w:val="20"/>
          <w:szCs w:val="20"/>
        </w:rPr>
        <w:tab/>
      </w:r>
      <w:r>
        <w:rPr>
          <w:rFonts w:ascii="Arial" w:eastAsia="Times New Roman" w:hAnsi="Arial" w:cs="Times New Roman"/>
          <w:b/>
          <w:sz w:val="20"/>
          <w:szCs w:val="20"/>
        </w:rPr>
        <w:tab/>
        <w:t xml:space="preserve">Clinician Business Expense Reimbursement </w:t>
      </w:r>
    </w:p>
    <w:p w14:paraId="57C611AA" w14:textId="77777777" w:rsidR="005F6459" w:rsidRDefault="005F6459" w:rsidP="005F6459">
      <w:pPr>
        <w:tabs>
          <w:tab w:val="left" w:pos="1440"/>
          <w:tab w:val="right" w:pos="8640"/>
        </w:tabs>
        <w:spacing w:after="0" w:line="240" w:lineRule="auto"/>
        <w:rPr>
          <w:rFonts w:ascii="Arial" w:eastAsia="Times New Roman" w:hAnsi="Arial" w:cs="Times New Roman"/>
          <w:b/>
          <w:sz w:val="20"/>
          <w:szCs w:val="20"/>
        </w:rPr>
      </w:pPr>
    </w:p>
    <w:p w14:paraId="64A09D25" w14:textId="77777777" w:rsidR="005F6459" w:rsidRDefault="005F6459" w:rsidP="005F6459">
      <w:pPr>
        <w:tabs>
          <w:tab w:val="left" w:pos="1440"/>
          <w:tab w:val="left" w:pos="1620"/>
          <w:tab w:val="right" w:pos="8640"/>
        </w:tabs>
        <w:spacing w:after="0" w:line="240" w:lineRule="auto"/>
        <w:rPr>
          <w:rFonts w:ascii="Arial" w:eastAsia="Times New Roman" w:hAnsi="Arial" w:cs="Times New Roman"/>
          <w:b/>
          <w:sz w:val="20"/>
          <w:szCs w:val="20"/>
        </w:rPr>
      </w:pPr>
      <w:r>
        <w:rPr>
          <w:rFonts w:ascii="Arial" w:eastAsia="Times New Roman" w:hAnsi="Arial" w:cs="Times New Roman"/>
          <w:b/>
          <w:sz w:val="20"/>
          <w:szCs w:val="20"/>
        </w:rPr>
        <w:t>APPLIES TO:</w:t>
      </w:r>
      <w:r>
        <w:rPr>
          <w:rFonts w:ascii="Arial" w:eastAsia="Times New Roman" w:hAnsi="Arial" w:cs="Times New Roman"/>
          <w:b/>
          <w:sz w:val="20"/>
          <w:szCs w:val="20"/>
        </w:rPr>
        <w:tab/>
      </w:r>
      <w:r>
        <w:rPr>
          <w:rFonts w:ascii="Arial" w:eastAsia="Times New Roman" w:hAnsi="Arial" w:cs="Times New Roman"/>
          <w:b/>
          <w:sz w:val="20"/>
          <w:szCs w:val="20"/>
        </w:rPr>
        <w:tab/>
      </w:r>
      <w:r>
        <w:rPr>
          <w:rFonts w:ascii="Arial" w:eastAsia="Times New Roman" w:hAnsi="Arial" w:cs="Times New Roman"/>
          <w:sz w:val="20"/>
          <w:szCs w:val="20"/>
        </w:rPr>
        <w:t>Clinicians</w:t>
      </w:r>
      <w:r>
        <w:rPr>
          <w:rFonts w:ascii="Arial" w:eastAsia="Times New Roman" w:hAnsi="Arial" w:cs="Times New Roman"/>
          <w:b/>
          <w:sz w:val="20"/>
          <w:szCs w:val="20"/>
        </w:rPr>
        <w:tab/>
        <w:t xml:space="preserve"> </w:t>
      </w:r>
    </w:p>
    <w:p w14:paraId="00B96DFC" w14:textId="77777777" w:rsidR="005F6459" w:rsidRDefault="005F6459" w:rsidP="005F6459">
      <w:pPr>
        <w:spacing w:after="0" w:line="240" w:lineRule="auto"/>
        <w:rPr>
          <w:rFonts w:ascii="Arial" w:eastAsia="Times New Roman" w:hAnsi="Arial" w:cs="Times New Roman"/>
          <w:sz w:val="20"/>
          <w:szCs w:val="20"/>
        </w:rPr>
      </w:pPr>
    </w:p>
    <w:p w14:paraId="64BD1258" w14:textId="77777777" w:rsidR="005F6459" w:rsidRDefault="005F6459" w:rsidP="005F6459">
      <w:pPr>
        <w:tabs>
          <w:tab w:val="left" w:pos="1620"/>
        </w:tabs>
        <w:spacing w:after="0" w:line="240" w:lineRule="auto"/>
        <w:ind w:left="1620" w:hanging="1620"/>
        <w:jc w:val="both"/>
        <w:rPr>
          <w:rFonts w:ascii="Arial" w:eastAsia="Times New Roman" w:hAnsi="Arial" w:cs="Times New Roman"/>
          <w:sz w:val="20"/>
          <w:szCs w:val="20"/>
        </w:rPr>
      </w:pPr>
      <w:r>
        <w:rPr>
          <w:rFonts w:ascii="Arial" w:eastAsia="Times New Roman" w:hAnsi="Arial" w:cs="Times New Roman"/>
          <w:b/>
          <w:sz w:val="20"/>
          <w:szCs w:val="20"/>
        </w:rPr>
        <w:t>POLICY:</w:t>
      </w:r>
      <w:r>
        <w:rPr>
          <w:rFonts w:ascii="Arial" w:eastAsia="Times New Roman" w:hAnsi="Arial" w:cs="Times New Roman"/>
          <w:sz w:val="20"/>
          <w:szCs w:val="20"/>
        </w:rPr>
        <w:tab/>
        <w:t xml:space="preserve">Women's Healthcare Associates, LLC (WHA) allows clinicians to be reimbursed for certain business expenses up to an annual allowance, as determined upon hire.  </w:t>
      </w:r>
    </w:p>
    <w:p w14:paraId="4475A3D8" w14:textId="77777777" w:rsidR="005F6459" w:rsidRDefault="005F6459" w:rsidP="005F6459">
      <w:pPr>
        <w:tabs>
          <w:tab w:val="left" w:pos="1980"/>
        </w:tabs>
        <w:spacing w:after="0" w:line="240" w:lineRule="auto"/>
        <w:ind w:left="1980" w:hanging="1980"/>
        <w:jc w:val="both"/>
        <w:rPr>
          <w:rFonts w:ascii="Arial" w:eastAsia="Times New Roman" w:hAnsi="Arial" w:cs="Times New Roman"/>
          <w:sz w:val="20"/>
          <w:szCs w:val="20"/>
        </w:rPr>
      </w:pPr>
    </w:p>
    <w:p w14:paraId="701B6DA8" w14:textId="77777777" w:rsidR="005F6459" w:rsidRDefault="005F6459" w:rsidP="005F6459">
      <w:pPr>
        <w:tabs>
          <w:tab w:val="left" w:pos="1620"/>
        </w:tabs>
        <w:spacing w:after="0" w:line="240" w:lineRule="auto"/>
        <w:ind w:left="1620" w:hanging="1620"/>
        <w:jc w:val="both"/>
        <w:rPr>
          <w:rFonts w:ascii="Arial" w:eastAsia="Times New Roman" w:hAnsi="Arial" w:cs="Times New Roman"/>
          <w:bCs/>
          <w:sz w:val="20"/>
          <w:szCs w:val="20"/>
        </w:rPr>
      </w:pPr>
      <w:r>
        <w:rPr>
          <w:rFonts w:ascii="Arial" w:eastAsia="Times New Roman" w:hAnsi="Arial" w:cs="Times New Roman"/>
          <w:b/>
          <w:sz w:val="20"/>
          <w:szCs w:val="20"/>
        </w:rPr>
        <w:t>PROCEDURE:</w:t>
      </w:r>
      <w:r>
        <w:rPr>
          <w:rFonts w:ascii="Arial" w:eastAsia="Times New Roman" w:hAnsi="Arial" w:cs="Times New Roman"/>
          <w:sz w:val="20"/>
          <w:szCs w:val="20"/>
        </w:rPr>
        <w:tab/>
      </w:r>
      <w:r>
        <w:rPr>
          <w:rFonts w:ascii="Arial" w:eastAsia="Times New Roman" w:hAnsi="Arial" w:cs="Times New Roman"/>
          <w:bCs/>
          <w:sz w:val="20"/>
          <w:szCs w:val="20"/>
        </w:rPr>
        <w:t xml:space="preserve">Clinicians must turn in receipts using the Expense Reimbursement Form.  Accounts Payable will issue a reimbursement check that will not be taxable to the clinician.  Expense reports must be turned in within 60 days from the date the expense was incurred, in order to be considered for reimbursement. Requests submitted after 60 days will not be reimbursed, except in extenuating circumstances.   </w:t>
      </w:r>
    </w:p>
    <w:p w14:paraId="674ABE37" w14:textId="77777777" w:rsidR="005F6459" w:rsidRDefault="005F6459" w:rsidP="005F6459">
      <w:pPr>
        <w:tabs>
          <w:tab w:val="left" w:pos="1620"/>
        </w:tabs>
        <w:spacing w:after="0" w:line="240" w:lineRule="auto"/>
        <w:ind w:left="1620" w:hanging="1620"/>
        <w:jc w:val="both"/>
        <w:rPr>
          <w:rFonts w:ascii="Arial" w:eastAsia="Times New Roman" w:hAnsi="Arial" w:cs="Times New Roman"/>
          <w:bCs/>
          <w:sz w:val="20"/>
          <w:szCs w:val="20"/>
        </w:rPr>
      </w:pPr>
    </w:p>
    <w:p w14:paraId="39702B4F" w14:textId="77777777" w:rsidR="005F6459" w:rsidRDefault="005F6459" w:rsidP="005F6459">
      <w:pPr>
        <w:tabs>
          <w:tab w:val="left" w:pos="1620"/>
        </w:tabs>
        <w:spacing w:after="0" w:line="240" w:lineRule="auto"/>
        <w:ind w:left="1620" w:hanging="1620"/>
        <w:jc w:val="both"/>
        <w:rPr>
          <w:rFonts w:ascii="Arial" w:eastAsia="Times New Roman" w:hAnsi="Arial" w:cs="Times New Roman"/>
          <w:bCs/>
          <w:sz w:val="20"/>
          <w:szCs w:val="20"/>
        </w:rPr>
      </w:pPr>
      <w:r>
        <w:rPr>
          <w:rFonts w:ascii="Arial" w:eastAsia="Times New Roman" w:hAnsi="Arial" w:cs="Times New Roman"/>
          <w:bCs/>
          <w:sz w:val="20"/>
          <w:szCs w:val="20"/>
        </w:rPr>
        <w:tab/>
        <w:t>In order to comply with year-end reporting and audit requirements, all December expenses need to be submitted by January 31</w:t>
      </w:r>
      <w:r>
        <w:rPr>
          <w:rFonts w:ascii="Arial" w:eastAsia="Times New Roman" w:hAnsi="Arial" w:cs="Times New Roman"/>
          <w:bCs/>
          <w:sz w:val="20"/>
          <w:szCs w:val="20"/>
          <w:vertAlign w:val="superscript"/>
        </w:rPr>
        <w:t>st</w:t>
      </w:r>
      <w:r>
        <w:rPr>
          <w:rFonts w:ascii="Arial" w:eastAsia="Times New Roman" w:hAnsi="Arial" w:cs="Times New Roman"/>
          <w:bCs/>
          <w:sz w:val="20"/>
          <w:szCs w:val="20"/>
        </w:rPr>
        <w:t xml:space="preserve"> of the following year. This is an exception to the 60 days rule.</w:t>
      </w:r>
    </w:p>
    <w:p w14:paraId="1F3A3BAF" w14:textId="77777777" w:rsidR="005F6459" w:rsidRDefault="005F6459" w:rsidP="005F6459">
      <w:pPr>
        <w:tabs>
          <w:tab w:val="left" w:pos="1620"/>
        </w:tabs>
        <w:spacing w:after="0" w:line="240" w:lineRule="auto"/>
        <w:ind w:left="1620" w:hanging="1620"/>
        <w:jc w:val="both"/>
        <w:rPr>
          <w:rFonts w:ascii="Arial" w:eastAsia="Times New Roman" w:hAnsi="Arial" w:cs="Times New Roman"/>
          <w:bCs/>
          <w:sz w:val="20"/>
          <w:szCs w:val="20"/>
        </w:rPr>
      </w:pPr>
    </w:p>
    <w:p w14:paraId="18107514" w14:textId="77777777" w:rsidR="005F6459" w:rsidRDefault="005F6459" w:rsidP="005F6459">
      <w:pPr>
        <w:tabs>
          <w:tab w:val="left" w:pos="1620"/>
        </w:tabs>
        <w:spacing w:after="0" w:line="240" w:lineRule="auto"/>
        <w:ind w:left="1620" w:hanging="1620"/>
        <w:jc w:val="both"/>
        <w:rPr>
          <w:rFonts w:ascii="Arial" w:eastAsia="Times New Roman" w:hAnsi="Arial" w:cs="Times New Roman"/>
          <w:bCs/>
          <w:sz w:val="20"/>
          <w:szCs w:val="20"/>
        </w:rPr>
      </w:pPr>
      <w:r>
        <w:rPr>
          <w:rFonts w:ascii="Arial" w:eastAsia="Times New Roman" w:hAnsi="Arial" w:cs="Times New Roman"/>
          <w:bCs/>
          <w:sz w:val="20"/>
          <w:szCs w:val="20"/>
        </w:rPr>
        <w:tab/>
        <w:t>Requests for using following year’s allowance will only be honored if the reimbursement request is for a continuing education event taking place in the following year.</w:t>
      </w:r>
    </w:p>
    <w:p w14:paraId="4A684533" w14:textId="77777777" w:rsidR="005F6459" w:rsidRDefault="005F6459" w:rsidP="005F6459">
      <w:pPr>
        <w:tabs>
          <w:tab w:val="left" w:pos="1620"/>
        </w:tabs>
        <w:spacing w:after="0" w:line="240" w:lineRule="auto"/>
        <w:ind w:left="1620" w:hanging="1620"/>
        <w:jc w:val="both"/>
        <w:rPr>
          <w:rFonts w:ascii="Arial" w:eastAsia="Times New Roman" w:hAnsi="Arial" w:cs="Times New Roman"/>
          <w:bCs/>
          <w:sz w:val="20"/>
          <w:szCs w:val="20"/>
        </w:rPr>
      </w:pPr>
    </w:p>
    <w:p w14:paraId="1D339391" w14:textId="77777777" w:rsidR="005F6459" w:rsidRDefault="005F6459" w:rsidP="005F6459">
      <w:pPr>
        <w:tabs>
          <w:tab w:val="left" w:pos="1620"/>
        </w:tabs>
        <w:spacing w:after="0" w:line="240" w:lineRule="auto"/>
        <w:ind w:left="1620" w:hanging="1620"/>
        <w:jc w:val="both"/>
        <w:rPr>
          <w:rFonts w:ascii="Arial" w:eastAsia="Times New Roman" w:hAnsi="Arial" w:cs="Times New Roman"/>
          <w:b/>
          <w:bCs/>
          <w:sz w:val="20"/>
          <w:szCs w:val="20"/>
        </w:rPr>
      </w:pPr>
      <w:r>
        <w:rPr>
          <w:rFonts w:ascii="Arial" w:eastAsia="Times New Roman" w:hAnsi="Arial" w:cs="Times New Roman"/>
          <w:bCs/>
          <w:sz w:val="20"/>
          <w:szCs w:val="20"/>
        </w:rPr>
        <w:tab/>
      </w:r>
      <w:r>
        <w:rPr>
          <w:rFonts w:ascii="Arial" w:eastAsia="Times New Roman" w:hAnsi="Arial" w:cs="Times New Roman"/>
          <w:b/>
          <w:bCs/>
          <w:sz w:val="20"/>
          <w:szCs w:val="20"/>
        </w:rPr>
        <w:t xml:space="preserve">Amounts in excess of the annual allowance will be reimbursed, up to a maximum of $500, for all clinicians.  </w:t>
      </w:r>
    </w:p>
    <w:p w14:paraId="5EB0D394" w14:textId="77777777" w:rsidR="005F6459" w:rsidRDefault="005F6459" w:rsidP="005F6459">
      <w:pPr>
        <w:tabs>
          <w:tab w:val="left" w:pos="1620"/>
        </w:tabs>
        <w:spacing w:after="0" w:line="240" w:lineRule="auto"/>
        <w:ind w:left="1620" w:hanging="1620"/>
        <w:jc w:val="both"/>
        <w:rPr>
          <w:rFonts w:ascii="Arial" w:eastAsia="Times New Roman" w:hAnsi="Arial" w:cs="Times New Roman"/>
          <w:b/>
          <w:bCs/>
          <w:sz w:val="20"/>
          <w:szCs w:val="20"/>
        </w:rPr>
      </w:pPr>
    </w:p>
    <w:p w14:paraId="40B1AD8E" w14:textId="0D9FD13E" w:rsidR="005F6459" w:rsidRDefault="005F6459" w:rsidP="005F6459">
      <w:pPr>
        <w:tabs>
          <w:tab w:val="left" w:pos="1620"/>
        </w:tabs>
        <w:spacing w:after="0" w:line="240" w:lineRule="auto"/>
        <w:ind w:left="1620" w:hanging="1620"/>
        <w:jc w:val="both"/>
        <w:rPr>
          <w:rFonts w:ascii="Arial" w:eastAsia="Times New Roman" w:hAnsi="Arial" w:cs="Times New Roman"/>
          <w:b/>
          <w:bCs/>
          <w:sz w:val="20"/>
          <w:szCs w:val="20"/>
        </w:rPr>
      </w:pPr>
      <w:r>
        <w:rPr>
          <w:rFonts w:ascii="Arial" w:eastAsia="Times New Roman" w:hAnsi="Arial" w:cs="Times New Roman"/>
          <w:b/>
          <w:bCs/>
          <w:sz w:val="20"/>
          <w:szCs w:val="20"/>
        </w:rPr>
        <w:tab/>
        <w:t xml:space="preserve">Members </w:t>
      </w:r>
      <w:r w:rsidR="00DE296E">
        <w:rPr>
          <w:rFonts w:ascii="Arial" w:eastAsia="Times New Roman" w:hAnsi="Arial" w:cs="Times New Roman"/>
          <w:b/>
          <w:bCs/>
          <w:sz w:val="20"/>
          <w:szCs w:val="20"/>
        </w:rPr>
        <w:t>Clinicians</w:t>
      </w:r>
      <w:r>
        <w:rPr>
          <w:rFonts w:ascii="Arial" w:eastAsia="Times New Roman" w:hAnsi="Arial" w:cs="Times New Roman"/>
          <w:b/>
          <w:bCs/>
          <w:sz w:val="20"/>
          <w:szCs w:val="20"/>
        </w:rPr>
        <w:t xml:space="preserve">: Any amounts not used up to a $2,000 maximum may be carried forward to the following year.  </w:t>
      </w:r>
    </w:p>
    <w:p w14:paraId="3987BC84" w14:textId="77777777" w:rsidR="00DE296E" w:rsidRDefault="00DE296E" w:rsidP="005F6459">
      <w:pPr>
        <w:tabs>
          <w:tab w:val="left" w:pos="1620"/>
        </w:tabs>
        <w:spacing w:after="0" w:line="240" w:lineRule="auto"/>
        <w:ind w:left="1620" w:hanging="1620"/>
        <w:jc w:val="both"/>
        <w:rPr>
          <w:rFonts w:ascii="Arial" w:eastAsia="Times New Roman" w:hAnsi="Arial" w:cs="Times New Roman"/>
          <w:b/>
          <w:bCs/>
          <w:sz w:val="20"/>
          <w:szCs w:val="20"/>
        </w:rPr>
      </w:pPr>
    </w:p>
    <w:p w14:paraId="3B254D60" w14:textId="535AC5C9" w:rsidR="00DE296E" w:rsidRDefault="00DE296E" w:rsidP="005F6459">
      <w:pPr>
        <w:tabs>
          <w:tab w:val="left" w:pos="1620"/>
        </w:tabs>
        <w:spacing w:after="0" w:line="240" w:lineRule="auto"/>
        <w:ind w:left="1620" w:hanging="1620"/>
        <w:jc w:val="both"/>
        <w:rPr>
          <w:rFonts w:ascii="Arial" w:eastAsia="Times New Roman" w:hAnsi="Arial" w:cs="Times New Roman"/>
          <w:b/>
          <w:bCs/>
          <w:sz w:val="20"/>
          <w:szCs w:val="20"/>
        </w:rPr>
      </w:pPr>
      <w:r>
        <w:rPr>
          <w:rFonts w:ascii="Arial" w:eastAsia="Times New Roman" w:hAnsi="Arial" w:cs="Times New Roman"/>
          <w:b/>
          <w:bCs/>
          <w:sz w:val="20"/>
          <w:szCs w:val="20"/>
        </w:rPr>
        <w:tab/>
        <w:t>Non-Member Clinicians: Any amounts not used up to a $500 maximum may be carried forward to the following year.</w:t>
      </w:r>
    </w:p>
    <w:p w14:paraId="7B5C03CA" w14:textId="77777777" w:rsidR="005F6459" w:rsidRDefault="005F6459" w:rsidP="005F6459">
      <w:pPr>
        <w:tabs>
          <w:tab w:val="left" w:pos="1620"/>
        </w:tabs>
        <w:spacing w:after="0" w:line="240" w:lineRule="auto"/>
        <w:ind w:left="1620" w:hanging="1620"/>
        <w:jc w:val="both"/>
        <w:rPr>
          <w:rFonts w:ascii="Arial" w:eastAsia="Times New Roman" w:hAnsi="Arial" w:cs="Times New Roman"/>
          <w:bCs/>
          <w:sz w:val="20"/>
          <w:szCs w:val="20"/>
        </w:rPr>
      </w:pPr>
      <w:r>
        <w:rPr>
          <w:rFonts w:ascii="Arial" w:eastAsia="Times New Roman" w:hAnsi="Arial" w:cs="Times New Roman"/>
          <w:bCs/>
          <w:sz w:val="20"/>
          <w:szCs w:val="20"/>
        </w:rPr>
        <w:tab/>
      </w:r>
    </w:p>
    <w:p w14:paraId="140A491B" w14:textId="77777777" w:rsidR="00F31FEB" w:rsidRDefault="005F6459" w:rsidP="005F6459">
      <w:pPr>
        <w:tabs>
          <w:tab w:val="left" w:pos="1620"/>
        </w:tabs>
        <w:spacing w:after="0" w:line="240" w:lineRule="auto"/>
        <w:ind w:left="1620"/>
        <w:jc w:val="both"/>
        <w:rPr>
          <w:rFonts w:ascii="Arial" w:eastAsia="Times New Roman" w:hAnsi="Arial" w:cs="Times New Roman"/>
          <w:bCs/>
          <w:sz w:val="20"/>
          <w:szCs w:val="20"/>
        </w:rPr>
      </w:pPr>
      <w:r>
        <w:rPr>
          <w:rFonts w:ascii="Arial" w:eastAsia="Times New Roman" w:hAnsi="Arial" w:cs="Times New Roman"/>
          <w:bCs/>
          <w:sz w:val="20"/>
          <w:szCs w:val="20"/>
        </w:rPr>
        <w:t xml:space="preserve">A list of expenses that WHA will reimburse is shown below.  If a clinician is unsure if a particular expense will be covered, it is the clinician’s responsibility to inquire with Accounts Payable prior to the expense being incurred.   </w:t>
      </w:r>
    </w:p>
    <w:p w14:paraId="69A359DD" w14:textId="77777777" w:rsidR="00F31FEB" w:rsidRDefault="00F31FEB" w:rsidP="005F6459">
      <w:pPr>
        <w:tabs>
          <w:tab w:val="left" w:pos="1620"/>
        </w:tabs>
        <w:spacing w:after="0" w:line="240" w:lineRule="auto"/>
        <w:ind w:left="1620"/>
        <w:jc w:val="both"/>
        <w:rPr>
          <w:rFonts w:ascii="Arial" w:eastAsia="Times New Roman" w:hAnsi="Arial" w:cs="Times New Roman"/>
          <w:bCs/>
          <w:sz w:val="20"/>
          <w:szCs w:val="20"/>
        </w:rPr>
      </w:pPr>
    </w:p>
    <w:p w14:paraId="3ABB50F2" w14:textId="77777777" w:rsidR="00F31FEB" w:rsidRDefault="00F31FEB" w:rsidP="0071267F">
      <w:pPr>
        <w:spacing w:after="0" w:line="240" w:lineRule="auto"/>
        <w:ind w:left="1620"/>
        <w:jc w:val="both"/>
        <w:rPr>
          <w:rFonts w:ascii="Arial" w:eastAsia="Times New Roman" w:hAnsi="Arial" w:cs="Arial"/>
          <w:sz w:val="20"/>
          <w:szCs w:val="20"/>
        </w:rPr>
      </w:pPr>
      <w:r>
        <w:rPr>
          <w:rFonts w:ascii="Arial" w:eastAsia="Times New Roman" w:hAnsi="Arial" w:cs="Arial"/>
          <w:sz w:val="20"/>
          <w:szCs w:val="20"/>
          <w:u w:val="single"/>
        </w:rPr>
        <w:t>Clinicians leaving the organization before year-end:</w:t>
      </w:r>
    </w:p>
    <w:p w14:paraId="3F1D2FB4" w14:textId="77777777" w:rsidR="00F31FEB" w:rsidRDefault="00F31FEB" w:rsidP="00F31FEB">
      <w:pPr>
        <w:pStyle w:val="ListParagraph"/>
        <w:numPr>
          <w:ilvl w:val="0"/>
          <w:numId w:val="5"/>
        </w:numPr>
        <w:spacing w:after="0" w:line="240" w:lineRule="auto"/>
        <w:jc w:val="both"/>
        <w:rPr>
          <w:rFonts w:ascii="Arial" w:eastAsia="Times New Roman" w:hAnsi="Arial" w:cs="Arial"/>
          <w:sz w:val="20"/>
          <w:szCs w:val="20"/>
        </w:rPr>
      </w:pPr>
      <w:r>
        <w:rPr>
          <w:rFonts w:ascii="Arial" w:eastAsia="Times New Roman" w:hAnsi="Arial" w:cs="Arial"/>
          <w:sz w:val="20"/>
          <w:szCs w:val="20"/>
        </w:rPr>
        <w:t>Funds shall be prorated to the date of departure</w:t>
      </w:r>
    </w:p>
    <w:p w14:paraId="5DBBD36C" w14:textId="77777777" w:rsidR="00F31FEB" w:rsidRDefault="00F31FEB" w:rsidP="00F31FEB">
      <w:pPr>
        <w:pStyle w:val="ListParagraph"/>
        <w:numPr>
          <w:ilvl w:val="0"/>
          <w:numId w:val="5"/>
        </w:numPr>
        <w:spacing w:after="0" w:line="240" w:lineRule="auto"/>
        <w:jc w:val="both"/>
        <w:rPr>
          <w:rFonts w:ascii="Arial" w:eastAsia="Times New Roman" w:hAnsi="Arial" w:cs="Arial"/>
          <w:sz w:val="20"/>
          <w:szCs w:val="20"/>
        </w:rPr>
      </w:pPr>
      <w:r>
        <w:rPr>
          <w:rFonts w:ascii="Arial" w:eastAsia="Times New Roman" w:hAnsi="Arial" w:cs="Arial"/>
          <w:sz w:val="20"/>
          <w:szCs w:val="20"/>
        </w:rPr>
        <w:t>Overages shall be deducted from the final check</w:t>
      </w:r>
    </w:p>
    <w:p w14:paraId="09AAB792" w14:textId="77777777" w:rsidR="00F31FEB" w:rsidRPr="00FE4B9D" w:rsidRDefault="00F31FEB" w:rsidP="00F31FEB">
      <w:pPr>
        <w:pStyle w:val="ListParagraph"/>
        <w:numPr>
          <w:ilvl w:val="0"/>
          <w:numId w:val="5"/>
        </w:numPr>
        <w:spacing w:after="0" w:line="240" w:lineRule="auto"/>
        <w:jc w:val="both"/>
        <w:rPr>
          <w:rFonts w:ascii="Arial" w:eastAsia="Times New Roman" w:hAnsi="Arial" w:cs="Arial"/>
          <w:sz w:val="20"/>
          <w:szCs w:val="20"/>
        </w:rPr>
      </w:pPr>
      <w:r>
        <w:rPr>
          <w:rFonts w:ascii="Arial" w:eastAsia="Times New Roman" w:hAnsi="Arial" w:cs="Arial"/>
          <w:sz w:val="20"/>
          <w:szCs w:val="20"/>
        </w:rPr>
        <w:t>Expenses must be submitted for approval by the final date of employment and will not be reimbursed if it results in a known overage</w:t>
      </w:r>
    </w:p>
    <w:p w14:paraId="75510DA3" w14:textId="77777777" w:rsidR="005F6459" w:rsidRDefault="005F6459" w:rsidP="005F6459">
      <w:pPr>
        <w:tabs>
          <w:tab w:val="left" w:pos="1620"/>
        </w:tabs>
        <w:spacing w:after="0" w:line="240" w:lineRule="auto"/>
        <w:ind w:left="1620"/>
        <w:jc w:val="both"/>
        <w:rPr>
          <w:rFonts w:ascii="Arial" w:eastAsia="Times New Roman" w:hAnsi="Arial" w:cs="Times New Roman"/>
          <w:bCs/>
          <w:sz w:val="20"/>
          <w:szCs w:val="20"/>
        </w:rPr>
      </w:pPr>
      <w:r>
        <w:rPr>
          <w:rFonts w:ascii="Arial" w:eastAsia="Times New Roman" w:hAnsi="Arial" w:cs="Times New Roman"/>
          <w:bCs/>
          <w:sz w:val="20"/>
          <w:szCs w:val="20"/>
        </w:rPr>
        <w:t xml:space="preserve"> </w:t>
      </w:r>
    </w:p>
    <w:p w14:paraId="41852FDC" w14:textId="77777777" w:rsidR="005F6459" w:rsidRDefault="005F6459" w:rsidP="005F6459">
      <w:pPr>
        <w:tabs>
          <w:tab w:val="left" w:pos="1620"/>
        </w:tabs>
        <w:spacing w:after="0" w:line="240" w:lineRule="auto"/>
        <w:ind w:left="2520"/>
        <w:jc w:val="both"/>
        <w:rPr>
          <w:rFonts w:ascii="Arial" w:eastAsia="Times New Roman" w:hAnsi="Arial" w:cs="Times New Roman"/>
          <w:bCs/>
          <w:sz w:val="20"/>
          <w:szCs w:val="20"/>
        </w:rPr>
      </w:pPr>
    </w:p>
    <w:p w14:paraId="2D89D853" w14:textId="77777777" w:rsidR="005F6459" w:rsidRDefault="005F6459" w:rsidP="005F6459">
      <w:pPr>
        <w:tabs>
          <w:tab w:val="left" w:pos="1620"/>
        </w:tabs>
        <w:spacing w:after="0" w:line="240" w:lineRule="auto"/>
        <w:jc w:val="both"/>
        <w:rPr>
          <w:rFonts w:ascii="Arial" w:eastAsia="Times New Roman" w:hAnsi="Arial" w:cs="Times New Roman"/>
          <w:bCs/>
          <w:sz w:val="20"/>
          <w:szCs w:val="20"/>
        </w:rPr>
      </w:pPr>
      <w:r>
        <w:rPr>
          <w:rFonts w:ascii="Arial" w:eastAsia="Times New Roman" w:hAnsi="Arial" w:cs="Times New Roman"/>
          <w:b/>
          <w:bCs/>
          <w:sz w:val="20"/>
          <w:szCs w:val="20"/>
        </w:rPr>
        <w:t>APPROVAL:</w:t>
      </w:r>
      <w:r>
        <w:rPr>
          <w:rFonts w:ascii="Arial" w:eastAsia="Times New Roman" w:hAnsi="Arial" w:cs="Times New Roman"/>
          <w:b/>
          <w:bCs/>
          <w:sz w:val="20"/>
          <w:szCs w:val="20"/>
        </w:rPr>
        <w:tab/>
      </w:r>
      <w:r>
        <w:rPr>
          <w:rFonts w:ascii="Arial" w:eastAsia="Times New Roman" w:hAnsi="Arial" w:cs="Times New Roman"/>
          <w:bCs/>
          <w:sz w:val="20"/>
          <w:szCs w:val="20"/>
        </w:rPr>
        <w:t xml:space="preserve">All expense reimbursement forms will be approved by the Chief Medical Officer </w:t>
      </w:r>
      <w:r>
        <w:rPr>
          <w:rFonts w:ascii="Arial" w:eastAsia="Times New Roman" w:hAnsi="Arial" w:cs="Times New Roman"/>
          <w:bCs/>
          <w:sz w:val="20"/>
          <w:szCs w:val="20"/>
        </w:rPr>
        <w:tab/>
        <w:t>or his/her delegated approver.</w:t>
      </w:r>
    </w:p>
    <w:p w14:paraId="09B918FE" w14:textId="65A733EC" w:rsidR="00DE296E" w:rsidRDefault="00DE296E">
      <w:pPr>
        <w:spacing w:after="160" w:line="259" w:lineRule="auto"/>
        <w:rPr>
          <w:rFonts w:ascii="Arial" w:eastAsia="Times New Roman" w:hAnsi="Arial" w:cs="Times New Roman"/>
          <w:bCs/>
          <w:sz w:val="20"/>
          <w:szCs w:val="20"/>
        </w:rPr>
      </w:pPr>
      <w:r>
        <w:rPr>
          <w:rFonts w:ascii="Arial" w:eastAsia="Times New Roman" w:hAnsi="Arial" w:cs="Times New Roman"/>
          <w:bCs/>
          <w:sz w:val="20"/>
          <w:szCs w:val="20"/>
        </w:rPr>
        <w:br w:type="page"/>
      </w:r>
    </w:p>
    <w:p w14:paraId="5FD17721" w14:textId="77777777" w:rsidR="005F6459" w:rsidRDefault="005F6459" w:rsidP="005F6459">
      <w:pPr>
        <w:tabs>
          <w:tab w:val="left" w:pos="1620"/>
        </w:tabs>
        <w:spacing w:after="0" w:line="240" w:lineRule="auto"/>
        <w:ind w:left="1620" w:hanging="1620"/>
        <w:jc w:val="both"/>
        <w:rPr>
          <w:rFonts w:ascii="Arial" w:eastAsia="Times New Roman" w:hAnsi="Arial" w:cs="Times New Roman"/>
          <w:b/>
          <w:sz w:val="20"/>
          <w:szCs w:val="20"/>
        </w:rPr>
      </w:pPr>
      <w:r>
        <w:rPr>
          <w:rFonts w:ascii="Arial" w:eastAsia="Times New Roman" w:hAnsi="Arial" w:cs="Times New Roman"/>
          <w:b/>
          <w:sz w:val="20"/>
          <w:szCs w:val="20"/>
        </w:rPr>
        <w:lastRenderedPageBreak/>
        <w:t>REIMBURSEABLE EXPENSES:</w:t>
      </w:r>
    </w:p>
    <w:p w14:paraId="01D409C1" w14:textId="77777777" w:rsidR="005F6459" w:rsidRDefault="005F6459" w:rsidP="005F6459">
      <w:pPr>
        <w:tabs>
          <w:tab w:val="left" w:pos="1620"/>
        </w:tabs>
        <w:spacing w:after="0" w:line="240" w:lineRule="auto"/>
        <w:ind w:left="1620" w:hanging="1620"/>
        <w:jc w:val="both"/>
        <w:rPr>
          <w:rFonts w:ascii="Arial" w:eastAsia="Times New Roman" w:hAnsi="Arial" w:cs="Times New Roman"/>
          <w:sz w:val="20"/>
          <w:szCs w:val="20"/>
        </w:rPr>
      </w:pPr>
    </w:p>
    <w:p w14:paraId="3E86DFA5" w14:textId="77777777" w:rsidR="005F6459" w:rsidRDefault="005F6459" w:rsidP="005F6459">
      <w:pPr>
        <w:spacing w:after="0" w:line="240" w:lineRule="auto"/>
        <w:ind w:left="1620"/>
        <w:contextualSpacing/>
        <w:rPr>
          <w:rFonts w:ascii="Arial" w:eastAsia="Calibri" w:hAnsi="Arial" w:cs="Arial"/>
          <w:sz w:val="20"/>
          <w:szCs w:val="20"/>
          <w:u w:val="single"/>
        </w:rPr>
      </w:pPr>
      <w:r>
        <w:rPr>
          <w:rFonts w:ascii="Arial" w:eastAsia="Calibri" w:hAnsi="Arial" w:cs="Arial"/>
          <w:sz w:val="20"/>
          <w:szCs w:val="20"/>
          <w:u w:val="single"/>
        </w:rPr>
        <w:t xml:space="preserve">Continuing Education Expenses </w:t>
      </w:r>
    </w:p>
    <w:p w14:paraId="573E8F10" w14:textId="77777777" w:rsidR="005F6459" w:rsidRDefault="005F6459" w:rsidP="005F6459">
      <w:pPr>
        <w:numPr>
          <w:ilvl w:val="0"/>
          <w:numId w:val="1"/>
        </w:numPr>
        <w:spacing w:after="0" w:line="240" w:lineRule="auto"/>
        <w:contextualSpacing/>
        <w:rPr>
          <w:rFonts w:ascii="Arial" w:eastAsia="Calibri" w:hAnsi="Arial" w:cs="Arial"/>
          <w:sz w:val="20"/>
          <w:szCs w:val="20"/>
        </w:rPr>
      </w:pPr>
      <w:r>
        <w:rPr>
          <w:rFonts w:ascii="Arial" w:eastAsia="Calibri" w:hAnsi="Arial" w:cs="Arial"/>
          <w:sz w:val="20"/>
          <w:szCs w:val="20"/>
        </w:rPr>
        <w:t>Conference Registration Fees</w:t>
      </w:r>
    </w:p>
    <w:p w14:paraId="16034CA8" w14:textId="77777777" w:rsidR="005F6459" w:rsidRDefault="005F6459" w:rsidP="005F6459">
      <w:pPr>
        <w:numPr>
          <w:ilvl w:val="0"/>
          <w:numId w:val="1"/>
        </w:numPr>
        <w:spacing w:after="0" w:line="240" w:lineRule="auto"/>
        <w:contextualSpacing/>
        <w:rPr>
          <w:rFonts w:ascii="Arial" w:eastAsia="Calibri" w:hAnsi="Arial" w:cs="Arial"/>
          <w:sz w:val="20"/>
          <w:szCs w:val="20"/>
        </w:rPr>
      </w:pPr>
      <w:r>
        <w:rPr>
          <w:rFonts w:ascii="Arial" w:eastAsia="Calibri" w:hAnsi="Arial" w:cs="Arial"/>
          <w:sz w:val="20"/>
          <w:szCs w:val="20"/>
        </w:rPr>
        <w:t>Meals while attending continuing education classes or conferences (see guidelines for meals below)</w:t>
      </w:r>
    </w:p>
    <w:p w14:paraId="17A07577" w14:textId="77777777" w:rsidR="005F6459" w:rsidRDefault="005F6459" w:rsidP="005F6459">
      <w:pPr>
        <w:numPr>
          <w:ilvl w:val="0"/>
          <w:numId w:val="1"/>
        </w:numPr>
        <w:spacing w:after="0" w:line="240" w:lineRule="auto"/>
        <w:contextualSpacing/>
        <w:rPr>
          <w:rFonts w:ascii="Arial" w:eastAsia="Calibri" w:hAnsi="Arial" w:cs="Arial"/>
          <w:sz w:val="20"/>
          <w:szCs w:val="20"/>
        </w:rPr>
      </w:pPr>
      <w:r>
        <w:rPr>
          <w:rFonts w:ascii="Arial" w:eastAsia="Calibri" w:hAnsi="Arial" w:cs="Arial"/>
          <w:sz w:val="20"/>
          <w:szCs w:val="20"/>
        </w:rPr>
        <w:t>Hotel/Lodging</w:t>
      </w:r>
    </w:p>
    <w:p w14:paraId="120962C7" w14:textId="472AE7A1" w:rsidR="00390B27" w:rsidRPr="00DE296E" w:rsidRDefault="005F6459" w:rsidP="00DE296E">
      <w:pPr>
        <w:numPr>
          <w:ilvl w:val="1"/>
          <w:numId w:val="1"/>
        </w:numPr>
        <w:spacing w:after="0" w:line="240" w:lineRule="auto"/>
        <w:contextualSpacing/>
        <w:rPr>
          <w:rFonts w:ascii="Arial" w:eastAsia="Calibri" w:hAnsi="Arial" w:cs="Arial"/>
          <w:sz w:val="20"/>
          <w:szCs w:val="20"/>
        </w:rPr>
      </w:pPr>
      <w:r>
        <w:rPr>
          <w:rFonts w:ascii="Arial" w:eastAsia="Calibri" w:hAnsi="Arial" w:cs="Arial"/>
          <w:sz w:val="20"/>
          <w:szCs w:val="20"/>
        </w:rPr>
        <w:t>Conferences and travel expenses on cruise ships will not be reimbursed</w:t>
      </w:r>
    </w:p>
    <w:p w14:paraId="4FE56739" w14:textId="77777777" w:rsidR="005F6459" w:rsidRDefault="005F6459" w:rsidP="005F6459">
      <w:pPr>
        <w:numPr>
          <w:ilvl w:val="1"/>
          <w:numId w:val="1"/>
        </w:numPr>
        <w:spacing w:after="0" w:line="240" w:lineRule="auto"/>
        <w:contextualSpacing/>
        <w:rPr>
          <w:rFonts w:ascii="Arial" w:eastAsia="Calibri" w:hAnsi="Arial" w:cs="Arial"/>
          <w:sz w:val="20"/>
          <w:szCs w:val="20"/>
        </w:rPr>
      </w:pPr>
      <w:r>
        <w:rPr>
          <w:rFonts w:ascii="Arial" w:eastAsia="Calibri" w:hAnsi="Arial" w:cs="Arial"/>
          <w:sz w:val="20"/>
          <w:szCs w:val="20"/>
        </w:rPr>
        <w:t>Movies, spas, child care, pet sitting, dry-cleaning, and non-attendee related expenses are not reimbursed.</w:t>
      </w:r>
    </w:p>
    <w:p w14:paraId="2EB5C715" w14:textId="77777777" w:rsidR="005F6459" w:rsidRDefault="005F6459" w:rsidP="005F6459">
      <w:pPr>
        <w:numPr>
          <w:ilvl w:val="1"/>
          <w:numId w:val="1"/>
        </w:numPr>
        <w:spacing w:after="0" w:line="240" w:lineRule="auto"/>
        <w:contextualSpacing/>
        <w:rPr>
          <w:rFonts w:ascii="Arial" w:eastAsia="Calibri" w:hAnsi="Arial" w:cs="Arial"/>
          <w:sz w:val="20"/>
          <w:szCs w:val="20"/>
        </w:rPr>
      </w:pPr>
      <w:r>
        <w:rPr>
          <w:rFonts w:ascii="Arial" w:eastAsia="Calibri" w:hAnsi="Arial" w:cs="Arial"/>
          <w:sz w:val="20"/>
          <w:szCs w:val="20"/>
        </w:rPr>
        <w:t>Baggage fees are reimbursable for the attendee only</w:t>
      </w:r>
    </w:p>
    <w:p w14:paraId="0EA34527" w14:textId="77777777" w:rsidR="005F6459" w:rsidRDefault="005F6459" w:rsidP="005F6459">
      <w:pPr>
        <w:numPr>
          <w:ilvl w:val="1"/>
          <w:numId w:val="1"/>
        </w:numPr>
        <w:spacing w:after="0" w:line="240" w:lineRule="auto"/>
        <w:contextualSpacing/>
        <w:rPr>
          <w:rFonts w:ascii="Arial" w:eastAsia="Calibri" w:hAnsi="Arial" w:cs="Arial"/>
          <w:sz w:val="20"/>
          <w:szCs w:val="20"/>
        </w:rPr>
      </w:pPr>
      <w:r>
        <w:rPr>
          <w:rFonts w:ascii="Arial" w:eastAsia="Calibri" w:hAnsi="Arial" w:cs="Arial"/>
          <w:sz w:val="20"/>
          <w:szCs w:val="20"/>
        </w:rPr>
        <w:t>Detailed receipts must be provided (including dates, location, line item detail, and amounts)</w:t>
      </w:r>
    </w:p>
    <w:p w14:paraId="28A09873" w14:textId="77777777" w:rsidR="005F6459" w:rsidRDefault="005F6459" w:rsidP="005F6459">
      <w:pPr>
        <w:numPr>
          <w:ilvl w:val="1"/>
          <w:numId w:val="1"/>
        </w:numPr>
        <w:spacing w:after="0" w:line="240" w:lineRule="auto"/>
        <w:contextualSpacing/>
        <w:rPr>
          <w:rFonts w:ascii="Arial" w:eastAsia="Calibri" w:hAnsi="Arial" w:cs="Arial"/>
          <w:sz w:val="20"/>
          <w:szCs w:val="20"/>
        </w:rPr>
      </w:pPr>
      <w:r>
        <w:rPr>
          <w:rFonts w:ascii="Arial" w:eastAsia="Calibri" w:hAnsi="Arial" w:cs="Arial"/>
          <w:sz w:val="20"/>
          <w:szCs w:val="20"/>
        </w:rPr>
        <w:t xml:space="preserve">Hotel, lodging and meal expenses will not be reimbursed when related to CME that can be done remotely from any location.  </w:t>
      </w:r>
    </w:p>
    <w:p w14:paraId="34053EDB" w14:textId="77777777" w:rsidR="005F6459" w:rsidRDefault="005F6459" w:rsidP="005F6459">
      <w:pPr>
        <w:numPr>
          <w:ilvl w:val="0"/>
          <w:numId w:val="1"/>
        </w:numPr>
        <w:spacing w:after="0" w:line="240" w:lineRule="auto"/>
        <w:contextualSpacing/>
        <w:rPr>
          <w:rFonts w:ascii="Arial" w:eastAsia="Calibri" w:hAnsi="Arial" w:cs="Arial"/>
          <w:sz w:val="20"/>
          <w:szCs w:val="20"/>
        </w:rPr>
      </w:pPr>
      <w:r>
        <w:rPr>
          <w:rFonts w:ascii="Arial" w:eastAsia="Calibri" w:hAnsi="Arial" w:cs="Arial"/>
          <w:sz w:val="20"/>
          <w:szCs w:val="20"/>
        </w:rPr>
        <w:t>Travel</w:t>
      </w:r>
    </w:p>
    <w:p w14:paraId="4849318C" w14:textId="77777777" w:rsidR="005F6459" w:rsidRDefault="005F6459" w:rsidP="005F6459">
      <w:pPr>
        <w:numPr>
          <w:ilvl w:val="1"/>
          <w:numId w:val="1"/>
        </w:numPr>
        <w:spacing w:after="0" w:line="240" w:lineRule="auto"/>
        <w:contextualSpacing/>
        <w:rPr>
          <w:rFonts w:ascii="Arial" w:eastAsia="Calibri" w:hAnsi="Arial" w:cs="Arial"/>
          <w:sz w:val="20"/>
          <w:szCs w:val="20"/>
        </w:rPr>
      </w:pPr>
      <w:r>
        <w:rPr>
          <w:rFonts w:ascii="Arial" w:eastAsia="Calibri" w:hAnsi="Arial" w:cs="Arial"/>
          <w:sz w:val="20"/>
          <w:szCs w:val="20"/>
        </w:rPr>
        <w:t>Luxury water travel is not reimbursable as a means of transportation for getting to the conference</w:t>
      </w:r>
    </w:p>
    <w:p w14:paraId="3AFEA778" w14:textId="77777777" w:rsidR="005F6459" w:rsidRDefault="005F6459" w:rsidP="005F6459">
      <w:pPr>
        <w:numPr>
          <w:ilvl w:val="1"/>
          <w:numId w:val="1"/>
        </w:numPr>
        <w:spacing w:after="0" w:line="240" w:lineRule="auto"/>
        <w:contextualSpacing/>
        <w:rPr>
          <w:rFonts w:ascii="Arial" w:eastAsia="Calibri" w:hAnsi="Arial" w:cs="Arial"/>
          <w:sz w:val="20"/>
          <w:szCs w:val="20"/>
        </w:rPr>
      </w:pPr>
      <w:r>
        <w:rPr>
          <w:rFonts w:ascii="Arial" w:eastAsia="Calibri" w:hAnsi="Arial" w:cs="Arial"/>
          <w:sz w:val="20"/>
          <w:szCs w:val="20"/>
        </w:rPr>
        <w:t>Auto mileage (to and from the conference, or to and from the airport) will be reimbursed at the applicable WHA mileage rate.  For travel to conferences greater than 400 miles from Portland, air travel should be used, rather than travel by automobile.</w:t>
      </w:r>
    </w:p>
    <w:p w14:paraId="566B77BD" w14:textId="77777777" w:rsidR="005F6459" w:rsidRDefault="005F6459" w:rsidP="005F6459">
      <w:pPr>
        <w:numPr>
          <w:ilvl w:val="1"/>
          <w:numId w:val="1"/>
        </w:numPr>
        <w:spacing w:after="0" w:line="240" w:lineRule="auto"/>
        <w:contextualSpacing/>
        <w:rPr>
          <w:rFonts w:ascii="Arial" w:eastAsia="Calibri" w:hAnsi="Arial" w:cs="Arial"/>
          <w:sz w:val="20"/>
          <w:szCs w:val="20"/>
        </w:rPr>
      </w:pPr>
      <w:r>
        <w:rPr>
          <w:rFonts w:ascii="Arial" w:eastAsia="Calibri" w:hAnsi="Arial" w:cs="Arial"/>
          <w:sz w:val="20"/>
          <w:szCs w:val="20"/>
        </w:rPr>
        <w:t>Parking, airfare (for the clinician only), and necessary cab fare will also be reimbursed</w:t>
      </w:r>
    </w:p>
    <w:p w14:paraId="73DD82FF" w14:textId="77777777" w:rsidR="005F6459" w:rsidRDefault="005F6459" w:rsidP="005F6459">
      <w:pPr>
        <w:numPr>
          <w:ilvl w:val="1"/>
          <w:numId w:val="1"/>
        </w:numPr>
        <w:spacing w:after="0" w:line="240" w:lineRule="auto"/>
        <w:contextualSpacing/>
        <w:rPr>
          <w:rFonts w:ascii="Arial" w:eastAsia="Calibri" w:hAnsi="Arial" w:cs="Arial"/>
          <w:sz w:val="20"/>
          <w:szCs w:val="20"/>
        </w:rPr>
      </w:pPr>
      <w:r>
        <w:rPr>
          <w:rFonts w:ascii="Arial" w:eastAsia="Calibri" w:hAnsi="Arial" w:cs="Arial"/>
          <w:sz w:val="20"/>
          <w:szCs w:val="20"/>
        </w:rPr>
        <w:t>If a first class or premium upgrade is purchased on a coach ticket, the upgrade amount will not be reimbursed.</w:t>
      </w:r>
    </w:p>
    <w:p w14:paraId="13F75BB6" w14:textId="77777777" w:rsidR="005F6459" w:rsidRDefault="005F6459" w:rsidP="005F6459">
      <w:pPr>
        <w:numPr>
          <w:ilvl w:val="1"/>
          <w:numId w:val="1"/>
        </w:numPr>
        <w:spacing w:after="0" w:line="240" w:lineRule="auto"/>
        <w:contextualSpacing/>
        <w:rPr>
          <w:rFonts w:ascii="Arial" w:eastAsia="Calibri" w:hAnsi="Arial" w:cs="Arial"/>
          <w:sz w:val="20"/>
          <w:szCs w:val="20"/>
        </w:rPr>
      </w:pPr>
      <w:r>
        <w:rPr>
          <w:rFonts w:ascii="Arial" w:eastAsia="Calibri" w:hAnsi="Arial" w:cs="Arial"/>
          <w:sz w:val="20"/>
          <w:szCs w:val="20"/>
        </w:rPr>
        <w:t xml:space="preserve">If a first class or premium ticket is purchased outright, only 50% of the ticket price will be reimbursed (or the cost of a coach ticket if it can be determined and provided). </w:t>
      </w:r>
    </w:p>
    <w:p w14:paraId="13861E53" w14:textId="77777777" w:rsidR="005F6459" w:rsidRDefault="005F6459" w:rsidP="005F6459">
      <w:pPr>
        <w:numPr>
          <w:ilvl w:val="1"/>
          <w:numId w:val="1"/>
        </w:numPr>
        <w:spacing w:after="0" w:line="240" w:lineRule="auto"/>
        <w:contextualSpacing/>
        <w:rPr>
          <w:rFonts w:ascii="Arial" w:eastAsia="Calibri" w:hAnsi="Arial" w:cs="Arial"/>
          <w:sz w:val="20"/>
          <w:szCs w:val="20"/>
        </w:rPr>
      </w:pPr>
      <w:r>
        <w:rPr>
          <w:rFonts w:ascii="Arial" w:eastAsia="Calibri" w:hAnsi="Arial" w:cs="Arial"/>
          <w:sz w:val="20"/>
          <w:szCs w:val="20"/>
        </w:rPr>
        <w:t>Detailed receipts must be provided (including dates, location, passenger/itinerary detail, and amounts)</w:t>
      </w:r>
    </w:p>
    <w:p w14:paraId="1B461B63" w14:textId="77777777" w:rsidR="005F6459" w:rsidRDefault="005F6459" w:rsidP="005F6459">
      <w:pPr>
        <w:numPr>
          <w:ilvl w:val="1"/>
          <w:numId w:val="1"/>
        </w:numPr>
        <w:spacing w:after="0" w:line="240" w:lineRule="auto"/>
        <w:contextualSpacing/>
        <w:rPr>
          <w:rFonts w:ascii="Arial" w:eastAsia="Calibri" w:hAnsi="Arial" w:cs="Arial"/>
          <w:sz w:val="20"/>
          <w:szCs w:val="20"/>
        </w:rPr>
      </w:pPr>
      <w:r>
        <w:rPr>
          <w:rFonts w:ascii="Arial" w:eastAsia="Calibri" w:hAnsi="Arial" w:cs="Arial"/>
          <w:sz w:val="20"/>
          <w:szCs w:val="20"/>
        </w:rPr>
        <w:t>Unnecessary travel expenses (such as traveling to a separate destination beyond the conference) will not be reimbursed.</w:t>
      </w:r>
    </w:p>
    <w:p w14:paraId="6B957882" w14:textId="77777777" w:rsidR="005F6459" w:rsidRDefault="005F6459" w:rsidP="005F6459">
      <w:pPr>
        <w:numPr>
          <w:ilvl w:val="1"/>
          <w:numId w:val="1"/>
        </w:numPr>
        <w:spacing w:after="0" w:line="240" w:lineRule="auto"/>
        <w:contextualSpacing/>
        <w:rPr>
          <w:rFonts w:ascii="Arial" w:eastAsia="Calibri" w:hAnsi="Arial" w:cs="Arial"/>
          <w:sz w:val="20"/>
          <w:szCs w:val="20"/>
        </w:rPr>
      </w:pPr>
      <w:r>
        <w:rPr>
          <w:rFonts w:ascii="Arial" w:eastAsia="Calibri" w:hAnsi="Arial" w:cs="Arial"/>
          <w:sz w:val="20"/>
          <w:szCs w:val="20"/>
        </w:rPr>
        <w:t xml:space="preserve">Travel expenses will not be reimbursed when related to CME courses that can be done remotely from any location. </w:t>
      </w:r>
    </w:p>
    <w:p w14:paraId="603D015F" w14:textId="77777777" w:rsidR="005F6459" w:rsidRDefault="005F6459" w:rsidP="005F6459">
      <w:pPr>
        <w:numPr>
          <w:ilvl w:val="0"/>
          <w:numId w:val="1"/>
        </w:numPr>
        <w:spacing w:after="0" w:line="240" w:lineRule="auto"/>
        <w:contextualSpacing/>
        <w:rPr>
          <w:rFonts w:ascii="Arial" w:eastAsia="Calibri" w:hAnsi="Arial" w:cs="Arial"/>
          <w:sz w:val="20"/>
          <w:szCs w:val="20"/>
        </w:rPr>
      </w:pPr>
      <w:r>
        <w:rPr>
          <w:rFonts w:ascii="Arial" w:eastAsia="Calibri" w:hAnsi="Arial" w:cs="Arial"/>
          <w:sz w:val="20"/>
          <w:szCs w:val="20"/>
        </w:rPr>
        <w:t>Timing of continuing education expenses</w:t>
      </w:r>
    </w:p>
    <w:p w14:paraId="1F6A73F4" w14:textId="77777777" w:rsidR="005F6459" w:rsidRDefault="005F6459" w:rsidP="005F6459">
      <w:pPr>
        <w:numPr>
          <w:ilvl w:val="1"/>
          <w:numId w:val="1"/>
        </w:numPr>
        <w:spacing w:after="0" w:line="240" w:lineRule="auto"/>
        <w:contextualSpacing/>
        <w:rPr>
          <w:rFonts w:ascii="Arial" w:eastAsia="Calibri" w:hAnsi="Arial" w:cs="Arial"/>
          <w:sz w:val="20"/>
          <w:szCs w:val="20"/>
        </w:rPr>
      </w:pPr>
      <w:r>
        <w:rPr>
          <w:rFonts w:ascii="Arial" w:eastAsia="Calibri" w:hAnsi="Arial" w:cs="Arial"/>
          <w:sz w:val="20"/>
          <w:szCs w:val="20"/>
        </w:rPr>
        <w:t xml:space="preserve">Expenses will be reimbursed from the day prior to the conference (as applicable expenses are incurred) through the return date from the conference. If a clinician chooses to stay extra days, reimbursement will only apply to the day prior to the conference, conference dates, and return travel date.  Any “extra” days will not be covered.  </w:t>
      </w:r>
    </w:p>
    <w:p w14:paraId="51EF1455" w14:textId="77777777" w:rsidR="005F6459" w:rsidRDefault="005F6459" w:rsidP="005F6459">
      <w:pPr>
        <w:numPr>
          <w:ilvl w:val="1"/>
          <w:numId w:val="1"/>
        </w:numPr>
        <w:spacing w:after="0" w:line="240" w:lineRule="auto"/>
        <w:contextualSpacing/>
        <w:rPr>
          <w:rFonts w:ascii="Arial" w:eastAsia="Calibri" w:hAnsi="Arial" w:cs="Arial"/>
          <w:sz w:val="20"/>
          <w:szCs w:val="20"/>
        </w:rPr>
      </w:pPr>
      <w:r>
        <w:rPr>
          <w:rFonts w:ascii="Arial" w:eastAsia="Calibri" w:hAnsi="Arial" w:cs="Arial"/>
          <w:sz w:val="20"/>
          <w:szCs w:val="20"/>
        </w:rPr>
        <w:t>If it is not feasible to travel home on the final day of the conference, expenses will be reimbursed for one additional day.</w:t>
      </w:r>
    </w:p>
    <w:p w14:paraId="5BEBDFA9" w14:textId="77777777" w:rsidR="005F6459" w:rsidRDefault="005F6459" w:rsidP="005F6459">
      <w:pPr>
        <w:numPr>
          <w:ilvl w:val="1"/>
          <w:numId w:val="1"/>
        </w:numPr>
        <w:spacing w:after="0" w:line="240" w:lineRule="auto"/>
        <w:contextualSpacing/>
        <w:rPr>
          <w:rFonts w:ascii="Arial" w:eastAsia="Calibri" w:hAnsi="Arial" w:cs="Arial"/>
          <w:sz w:val="20"/>
          <w:szCs w:val="20"/>
        </w:rPr>
      </w:pPr>
      <w:r>
        <w:rPr>
          <w:rFonts w:ascii="Arial" w:eastAsia="Calibri" w:hAnsi="Arial" w:cs="Arial"/>
          <w:sz w:val="20"/>
          <w:szCs w:val="20"/>
        </w:rPr>
        <w:t xml:space="preserve">Expenses extending beyond the conference that cannot be segregated on a daily basis (for example, a weekly car rental) will be prorated over the duration of the conference only. </w:t>
      </w:r>
    </w:p>
    <w:p w14:paraId="02F04DFC" w14:textId="77777777" w:rsidR="005F6459" w:rsidRDefault="005F6459" w:rsidP="005F6459">
      <w:pPr>
        <w:numPr>
          <w:ilvl w:val="1"/>
          <w:numId w:val="1"/>
        </w:numPr>
        <w:spacing w:after="0" w:line="240" w:lineRule="auto"/>
        <w:contextualSpacing/>
        <w:rPr>
          <w:rFonts w:ascii="Arial" w:eastAsia="Calibri" w:hAnsi="Arial" w:cs="Arial"/>
          <w:sz w:val="20"/>
          <w:szCs w:val="20"/>
        </w:rPr>
      </w:pPr>
      <w:r>
        <w:rPr>
          <w:rFonts w:ascii="Arial" w:eastAsia="Calibri" w:hAnsi="Arial" w:cs="Arial"/>
          <w:sz w:val="20"/>
          <w:szCs w:val="20"/>
        </w:rPr>
        <w:t>Expenses for family traveling with the WHA clinician will not be reimbursed.  Therefore joint meals should be allocated between the WHA clinician and any family for reimbursement purposes.  Additionally, lodging expenses may also need to be allocated.</w:t>
      </w:r>
    </w:p>
    <w:p w14:paraId="57EC6C20" w14:textId="77777777" w:rsidR="005F6459" w:rsidRDefault="005F6459" w:rsidP="005F6459">
      <w:pPr>
        <w:spacing w:after="0" w:line="240" w:lineRule="auto"/>
        <w:ind w:left="2880"/>
        <w:contextualSpacing/>
        <w:rPr>
          <w:rFonts w:ascii="Arial" w:eastAsia="Calibri" w:hAnsi="Arial" w:cs="Arial"/>
          <w:sz w:val="20"/>
          <w:szCs w:val="20"/>
        </w:rPr>
      </w:pPr>
    </w:p>
    <w:p w14:paraId="23FCEE95" w14:textId="77777777" w:rsidR="005F6459" w:rsidRDefault="005F6459" w:rsidP="005F6459">
      <w:pPr>
        <w:spacing w:after="0" w:line="240" w:lineRule="auto"/>
        <w:ind w:left="1620"/>
        <w:contextualSpacing/>
        <w:rPr>
          <w:rFonts w:ascii="Arial" w:eastAsia="Calibri" w:hAnsi="Arial" w:cs="Arial"/>
          <w:sz w:val="20"/>
          <w:szCs w:val="20"/>
          <w:u w:val="single"/>
        </w:rPr>
      </w:pPr>
      <w:r>
        <w:rPr>
          <w:rFonts w:ascii="Arial" w:eastAsia="Calibri" w:hAnsi="Arial" w:cs="Arial"/>
          <w:sz w:val="20"/>
          <w:szCs w:val="20"/>
          <w:u w:val="single"/>
        </w:rPr>
        <w:lastRenderedPageBreak/>
        <w:t>Performance coaching expenses</w:t>
      </w:r>
    </w:p>
    <w:p w14:paraId="39598446" w14:textId="77777777" w:rsidR="005F6459" w:rsidRDefault="005F6459" w:rsidP="005F6459">
      <w:pPr>
        <w:pStyle w:val="ListParagraph"/>
        <w:numPr>
          <w:ilvl w:val="0"/>
          <w:numId w:val="2"/>
        </w:numPr>
        <w:spacing w:after="0" w:line="240" w:lineRule="auto"/>
        <w:ind w:left="2340" w:hanging="450"/>
        <w:rPr>
          <w:rFonts w:ascii="Arial" w:eastAsia="Calibri" w:hAnsi="Arial" w:cs="Arial"/>
          <w:sz w:val="20"/>
          <w:szCs w:val="20"/>
        </w:rPr>
      </w:pPr>
      <w:r>
        <w:rPr>
          <w:rFonts w:ascii="Arial" w:eastAsia="Calibri" w:hAnsi="Arial" w:cs="Arial"/>
          <w:sz w:val="20"/>
          <w:szCs w:val="20"/>
        </w:rPr>
        <w:t>Reimbursement for these expenses will occur if they are directly related to improving your job performance.  These expenses are for those job coaching expenses not reimbursable through other WHA benefit arrangements.</w:t>
      </w:r>
    </w:p>
    <w:p w14:paraId="02F36AD9" w14:textId="77777777" w:rsidR="005F6459" w:rsidRDefault="005F6459" w:rsidP="005F6459">
      <w:pPr>
        <w:spacing w:after="0" w:line="240" w:lineRule="auto"/>
        <w:ind w:left="1620"/>
        <w:contextualSpacing/>
        <w:rPr>
          <w:rFonts w:ascii="Arial" w:eastAsia="Calibri" w:hAnsi="Arial" w:cs="Arial"/>
          <w:sz w:val="20"/>
          <w:szCs w:val="20"/>
          <w:u w:val="single"/>
        </w:rPr>
      </w:pPr>
      <w:r>
        <w:rPr>
          <w:rFonts w:ascii="Arial" w:eastAsia="Calibri" w:hAnsi="Arial" w:cs="Arial"/>
          <w:sz w:val="20"/>
          <w:szCs w:val="20"/>
          <w:u w:val="single"/>
        </w:rPr>
        <w:t>Computer and related technology expenses</w:t>
      </w:r>
    </w:p>
    <w:p w14:paraId="4F56A9AC" w14:textId="77777777" w:rsidR="005F6459" w:rsidRDefault="005F6459" w:rsidP="005F6459">
      <w:pPr>
        <w:numPr>
          <w:ilvl w:val="0"/>
          <w:numId w:val="3"/>
        </w:numPr>
        <w:spacing w:after="0" w:line="240" w:lineRule="auto"/>
        <w:contextualSpacing/>
        <w:rPr>
          <w:rFonts w:ascii="Arial" w:eastAsia="Calibri" w:hAnsi="Arial" w:cs="Arial"/>
          <w:sz w:val="20"/>
          <w:szCs w:val="20"/>
          <w:u w:val="single"/>
        </w:rPr>
      </w:pPr>
      <w:r>
        <w:rPr>
          <w:rFonts w:ascii="Arial" w:eastAsia="Calibri" w:hAnsi="Arial" w:cs="Arial"/>
          <w:sz w:val="20"/>
          <w:szCs w:val="20"/>
        </w:rPr>
        <w:t>The equipment purchased must be used in the course of business.   Personal use of the equipment should be limited.</w:t>
      </w:r>
    </w:p>
    <w:p w14:paraId="4AB81715" w14:textId="77777777" w:rsidR="005F6459" w:rsidRDefault="005F6459" w:rsidP="005F6459">
      <w:pPr>
        <w:numPr>
          <w:ilvl w:val="0"/>
          <w:numId w:val="3"/>
        </w:numPr>
        <w:spacing w:after="0" w:line="240" w:lineRule="auto"/>
        <w:contextualSpacing/>
        <w:rPr>
          <w:rFonts w:ascii="Arial" w:eastAsia="Calibri" w:hAnsi="Arial" w:cs="Arial"/>
          <w:sz w:val="20"/>
          <w:szCs w:val="20"/>
          <w:u w:val="single"/>
        </w:rPr>
      </w:pPr>
      <w:r>
        <w:rPr>
          <w:rFonts w:ascii="Arial" w:eastAsia="Calibri" w:hAnsi="Arial" w:cs="Arial"/>
          <w:noProof/>
          <w:sz w:val="20"/>
          <w:szCs w:val="20"/>
        </w:rPr>
        <w:t>Clinicians in possession of company equipment such as computer equipment and accessories are expected to protect the equipment from loss, damage or theft.  Upon resignation or termination of employment, or at any time upon request, the clinician may be asked to produce the equipment for return or inspection. If the clinician is unable to present the equipment in good working condition within the time period requested,they may be expected to bear the cost of replacement.</w:t>
      </w:r>
    </w:p>
    <w:p w14:paraId="135A6B2E" w14:textId="77777777" w:rsidR="005F6459" w:rsidRDefault="005F6459" w:rsidP="005F6459">
      <w:pPr>
        <w:numPr>
          <w:ilvl w:val="0"/>
          <w:numId w:val="3"/>
        </w:numPr>
        <w:spacing w:after="0" w:line="240" w:lineRule="auto"/>
        <w:contextualSpacing/>
        <w:rPr>
          <w:rFonts w:ascii="Arial" w:eastAsia="Calibri" w:hAnsi="Arial" w:cs="Arial"/>
          <w:sz w:val="20"/>
          <w:szCs w:val="20"/>
          <w:u w:val="single"/>
        </w:rPr>
      </w:pPr>
      <w:r>
        <w:rPr>
          <w:rFonts w:ascii="Arial" w:eastAsia="Calibri" w:hAnsi="Arial" w:cs="Arial"/>
          <w:sz w:val="20"/>
          <w:szCs w:val="20"/>
        </w:rPr>
        <w:t>Home internet expense (used for business purposes) reimbursements are limited to $50/month</w:t>
      </w:r>
    </w:p>
    <w:p w14:paraId="0ECE826E" w14:textId="77777777" w:rsidR="005F6459" w:rsidRDefault="005F6459" w:rsidP="005F6459">
      <w:pPr>
        <w:numPr>
          <w:ilvl w:val="0"/>
          <w:numId w:val="3"/>
        </w:numPr>
        <w:spacing w:after="0" w:line="240" w:lineRule="auto"/>
        <w:contextualSpacing/>
        <w:rPr>
          <w:rFonts w:ascii="Arial" w:eastAsia="Calibri" w:hAnsi="Arial" w:cs="Arial"/>
          <w:sz w:val="20"/>
          <w:szCs w:val="20"/>
          <w:u w:val="single"/>
        </w:rPr>
      </w:pPr>
      <w:r>
        <w:rPr>
          <w:rFonts w:ascii="Arial" w:eastAsia="Calibri" w:hAnsi="Arial" w:cs="Arial"/>
          <w:sz w:val="20"/>
          <w:szCs w:val="20"/>
        </w:rPr>
        <w:t>Phone equipment costs over and above the company paid amount</w:t>
      </w:r>
    </w:p>
    <w:p w14:paraId="236E6AB6" w14:textId="77777777" w:rsidR="005F6459" w:rsidRDefault="005F6459" w:rsidP="005F6459">
      <w:pPr>
        <w:numPr>
          <w:ilvl w:val="0"/>
          <w:numId w:val="3"/>
        </w:numPr>
        <w:spacing w:after="0" w:line="240" w:lineRule="auto"/>
        <w:contextualSpacing/>
        <w:rPr>
          <w:rFonts w:ascii="Arial" w:eastAsia="Calibri" w:hAnsi="Arial" w:cs="Arial"/>
          <w:sz w:val="20"/>
          <w:szCs w:val="20"/>
          <w:u w:val="single"/>
        </w:rPr>
      </w:pPr>
      <w:r>
        <w:rPr>
          <w:rFonts w:ascii="Arial" w:eastAsia="Calibri" w:hAnsi="Arial" w:cs="Arial"/>
          <w:sz w:val="20"/>
          <w:szCs w:val="20"/>
        </w:rPr>
        <w:t>For clinicians whom Verizon cell coverage is a problem at their home, cell phone expenses are reimbursable up to $50/month</w:t>
      </w:r>
    </w:p>
    <w:p w14:paraId="5E009D29" w14:textId="77777777" w:rsidR="005F6459" w:rsidRDefault="005F6459" w:rsidP="005F6459">
      <w:pPr>
        <w:spacing w:after="0" w:line="240" w:lineRule="auto"/>
        <w:rPr>
          <w:rFonts w:ascii="Arial" w:eastAsia="Times New Roman" w:hAnsi="Arial" w:cs="Arial"/>
          <w:sz w:val="20"/>
          <w:szCs w:val="20"/>
        </w:rPr>
      </w:pPr>
    </w:p>
    <w:p w14:paraId="589A0DF4" w14:textId="77777777" w:rsidR="005F6459" w:rsidRDefault="005F6459" w:rsidP="005F6459">
      <w:pPr>
        <w:spacing w:after="0" w:line="240" w:lineRule="auto"/>
        <w:ind w:left="1620"/>
        <w:contextualSpacing/>
        <w:rPr>
          <w:rFonts w:ascii="Arial" w:eastAsia="Calibri" w:hAnsi="Arial" w:cs="Arial"/>
          <w:sz w:val="20"/>
          <w:szCs w:val="20"/>
          <w:u w:val="single"/>
        </w:rPr>
      </w:pPr>
      <w:r>
        <w:rPr>
          <w:rFonts w:ascii="Arial" w:eastAsia="Calibri" w:hAnsi="Arial" w:cs="Arial"/>
          <w:sz w:val="20"/>
          <w:szCs w:val="20"/>
          <w:u w:val="single"/>
        </w:rPr>
        <w:t>Applicable business expenses outside of what is normally provided by WHA (i.e., WHA may already be providing these to some degree, but a clinician may choose to go beyond the standard WHA allotment)</w:t>
      </w:r>
    </w:p>
    <w:p w14:paraId="29161E3D" w14:textId="77777777" w:rsidR="005F6459" w:rsidRDefault="005F6459" w:rsidP="005F6459">
      <w:pPr>
        <w:numPr>
          <w:ilvl w:val="0"/>
          <w:numId w:val="3"/>
        </w:numPr>
        <w:spacing w:after="0" w:line="240" w:lineRule="auto"/>
        <w:contextualSpacing/>
        <w:rPr>
          <w:rFonts w:ascii="Arial" w:eastAsia="Calibri" w:hAnsi="Arial" w:cs="Arial"/>
          <w:noProof/>
          <w:sz w:val="20"/>
          <w:szCs w:val="20"/>
        </w:rPr>
      </w:pPr>
      <w:r>
        <w:rPr>
          <w:rFonts w:ascii="Arial" w:eastAsia="Calibri" w:hAnsi="Arial" w:cs="Arial"/>
          <w:noProof/>
          <w:sz w:val="20"/>
          <w:szCs w:val="20"/>
        </w:rPr>
        <w:t>Office supplies</w:t>
      </w:r>
    </w:p>
    <w:p w14:paraId="5092C068" w14:textId="77777777" w:rsidR="005F6459" w:rsidRDefault="005F6459" w:rsidP="005F6459">
      <w:pPr>
        <w:numPr>
          <w:ilvl w:val="0"/>
          <w:numId w:val="3"/>
        </w:numPr>
        <w:spacing w:after="0" w:line="240" w:lineRule="auto"/>
        <w:contextualSpacing/>
        <w:rPr>
          <w:rFonts w:ascii="Arial" w:eastAsia="Calibri" w:hAnsi="Arial" w:cs="Arial"/>
          <w:noProof/>
          <w:sz w:val="20"/>
          <w:szCs w:val="20"/>
        </w:rPr>
      </w:pPr>
      <w:r>
        <w:rPr>
          <w:rFonts w:ascii="Arial" w:eastAsia="Calibri" w:hAnsi="Arial" w:cs="Arial"/>
          <w:noProof/>
          <w:sz w:val="20"/>
          <w:szCs w:val="20"/>
        </w:rPr>
        <w:t xml:space="preserve">Medical apparel (scrubs) used for business purposes </w:t>
      </w:r>
    </w:p>
    <w:p w14:paraId="28EC431A" w14:textId="77777777" w:rsidR="005F6459" w:rsidRDefault="005F6459" w:rsidP="005F6459">
      <w:pPr>
        <w:numPr>
          <w:ilvl w:val="0"/>
          <w:numId w:val="3"/>
        </w:numPr>
        <w:spacing w:after="0" w:line="240" w:lineRule="auto"/>
        <w:contextualSpacing/>
        <w:rPr>
          <w:rFonts w:ascii="Arial" w:eastAsia="Calibri" w:hAnsi="Arial" w:cs="Arial"/>
          <w:noProof/>
          <w:sz w:val="20"/>
          <w:szCs w:val="20"/>
        </w:rPr>
      </w:pPr>
      <w:r>
        <w:rPr>
          <w:rFonts w:ascii="Arial" w:eastAsia="Calibri" w:hAnsi="Arial" w:cs="Arial"/>
          <w:noProof/>
          <w:sz w:val="20"/>
          <w:szCs w:val="20"/>
        </w:rPr>
        <w:t>Meals onsite/offsite</w:t>
      </w:r>
    </w:p>
    <w:p w14:paraId="0AD716D0" w14:textId="77777777" w:rsidR="005F6459" w:rsidRDefault="005F6459" w:rsidP="005F6459">
      <w:pPr>
        <w:numPr>
          <w:ilvl w:val="1"/>
          <w:numId w:val="3"/>
        </w:numPr>
        <w:spacing w:after="0" w:line="240" w:lineRule="auto"/>
        <w:contextualSpacing/>
        <w:rPr>
          <w:rFonts w:ascii="Arial" w:eastAsia="Calibri" w:hAnsi="Arial" w:cs="Arial"/>
          <w:noProof/>
          <w:sz w:val="20"/>
          <w:szCs w:val="20"/>
        </w:rPr>
      </w:pPr>
      <w:r>
        <w:rPr>
          <w:rFonts w:ascii="Arial" w:eastAsia="Calibri" w:hAnsi="Arial" w:cs="Arial"/>
          <w:noProof/>
          <w:sz w:val="20"/>
          <w:szCs w:val="20"/>
        </w:rPr>
        <w:t xml:space="preserve">Per IRS guidelines, expense reimbursement for meal receipts must include the following information:  </w:t>
      </w:r>
    </w:p>
    <w:p w14:paraId="7892DF48" w14:textId="77777777" w:rsidR="005F6459" w:rsidRDefault="005F6459" w:rsidP="005F6459">
      <w:pPr>
        <w:numPr>
          <w:ilvl w:val="2"/>
          <w:numId w:val="3"/>
        </w:numPr>
        <w:spacing w:after="0" w:line="240" w:lineRule="auto"/>
        <w:contextualSpacing/>
        <w:rPr>
          <w:rFonts w:ascii="Arial" w:eastAsia="Calibri" w:hAnsi="Arial" w:cs="Arial"/>
          <w:noProof/>
          <w:sz w:val="20"/>
          <w:szCs w:val="20"/>
        </w:rPr>
      </w:pPr>
      <w:r>
        <w:rPr>
          <w:rFonts w:ascii="Arial" w:eastAsia="Calibri" w:hAnsi="Arial" w:cs="Arial"/>
          <w:noProof/>
          <w:sz w:val="20"/>
          <w:szCs w:val="20"/>
        </w:rPr>
        <w:t>Business reason for the meal</w:t>
      </w:r>
    </w:p>
    <w:p w14:paraId="358CD66D" w14:textId="77777777" w:rsidR="005F6459" w:rsidRDefault="005F6459" w:rsidP="005F6459">
      <w:pPr>
        <w:numPr>
          <w:ilvl w:val="2"/>
          <w:numId w:val="3"/>
        </w:numPr>
        <w:spacing w:after="0" w:line="240" w:lineRule="auto"/>
        <w:contextualSpacing/>
        <w:rPr>
          <w:rFonts w:ascii="Arial" w:eastAsia="Calibri" w:hAnsi="Arial" w:cs="Arial"/>
          <w:noProof/>
          <w:sz w:val="20"/>
          <w:szCs w:val="20"/>
        </w:rPr>
      </w:pPr>
      <w:r>
        <w:rPr>
          <w:rFonts w:ascii="Arial" w:eastAsia="Calibri" w:hAnsi="Arial" w:cs="Arial"/>
          <w:noProof/>
          <w:sz w:val="20"/>
          <w:szCs w:val="20"/>
        </w:rPr>
        <w:t>Listed people attending the meal</w:t>
      </w:r>
    </w:p>
    <w:p w14:paraId="770AE471" w14:textId="77777777" w:rsidR="005F6459" w:rsidRDefault="005F6459" w:rsidP="005F6459">
      <w:pPr>
        <w:numPr>
          <w:ilvl w:val="2"/>
          <w:numId w:val="3"/>
        </w:numPr>
        <w:spacing w:after="0" w:line="240" w:lineRule="auto"/>
        <w:contextualSpacing/>
        <w:rPr>
          <w:rFonts w:ascii="Arial" w:eastAsia="Calibri" w:hAnsi="Arial" w:cs="Arial"/>
          <w:noProof/>
          <w:sz w:val="20"/>
          <w:szCs w:val="20"/>
        </w:rPr>
      </w:pPr>
      <w:r>
        <w:rPr>
          <w:rFonts w:ascii="Arial" w:eastAsia="Calibri" w:hAnsi="Arial" w:cs="Arial"/>
          <w:noProof/>
          <w:sz w:val="20"/>
          <w:szCs w:val="20"/>
        </w:rPr>
        <w:t>A detailed receipt of items purchased is preferred as well as the credit card receipt</w:t>
      </w:r>
    </w:p>
    <w:p w14:paraId="77EAC2E0" w14:textId="77777777" w:rsidR="005F6459" w:rsidRDefault="005F6459" w:rsidP="005F6459">
      <w:pPr>
        <w:numPr>
          <w:ilvl w:val="2"/>
          <w:numId w:val="3"/>
        </w:numPr>
        <w:spacing w:after="0" w:line="240" w:lineRule="auto"/>
        <w:contextualSpacing/>
        <w:rPr>
          <w:rFonts w:ascii="Arial" w:eastAsia="Calibri" w:hAnsi="Arial" w:cs="Arial"/>
          <w:noProof/>
          <w:sz w:val="20"/>
          <w:szCs w:val="20"/>
        </w:rPr>
      </w:pPr>
      <w:r>
        <w:rPr>
          <w:rFonts w:ascii="Arial" w:eastAsia="Calibri" w:hAnsi="Arial" w:cs="Arial"/>
          <w:noProof/>
          <w:sz w:val="20"/>
          <w:szCs w:val="20"/>
        </w:rPr>
        <w:t>Site specific meals/events that are not already covered under WHA policy may be charged to clinician reimbursement accounts.  Examples might include site specific dinners, picnics, etc. sponsored by and paid for by the clinicians.</w:t>
      </w:r>
    </w:p>
    <w:p w14:paraId="04430716" w14:textId="77777777" w:rsidR="005F6459" w:rsidRDefault="005F6459" w:rsidP="005F6459">
      <w:pPr>
        <w:numPr>
          <w:ilvl w:val="0"/>
          <w:numId w:val="3"/>
        </w:numPr>
        <w:spacing w:after="0" w:line="240" w:lineRule="auto"/>
        <w:contextualSpacing/>
        <w:rPr>
          <w:rFonts w:ascii="Arial" w:eastAsia="Calibri" w:hAnsi="Arial" w:cs="Arial"/>
          <w:noProof/>
          <w:sz w:val="20"/>
          <w:szCs w:val="20"/>
        </w:rPr>
      </w:pPr>
      <w:r>
        <w:rPr>
          <w:rFonts w:ascii="Arial" w:eastAsia="Calibri" w:hAnsi="Arial" w:cs="Arial"/>
          <w:noProof/>
          <w:sz w:val="20"/>
          <w:szCs w:val="20"/>
        </w:rPr>
        <w:t>Books, publications, journals, subscriptions</w:t>
      </w:r>
    </w:p>
    <w:p w14:paraId="1A738646" w14:textId="77777777" w:rsidR="005F6459" w:rsidRDefault="005F6459" w:rsidP="005F6459">
      <w:pPr>
        <w:numPr>
          <w:ilvl w:val="0"/>
          <w:numId w:val="3"/>
        </w:numPr>
        <w:spacing w:after="0" w:line="240" w:lineRule="auto"/>
        <w:contextualSpacing/>
        <w:rPr>
          <w:rFonts w:ascii="Arial" w:eastAsia="Calibri" w:hAnsi="Arial" w:cs="Arial"/>
          <w:noProof/>
          <w:sz w:val="20"/>
          <w:szCs w:val="20"/>
        </w:rPr>
      </w:pPr>
      <w:r>
        <w:rPr>
          <w:rFonts w:ascii="Arial" w:eastAsia="Calibri" w:hAnsi="Arial" w:cs="Arial"/>
          <w:noProof/>
          <w:sz w:val="20"/>
          <w:szCs w:val="20"/>
        </w:rPr>
        <w:t xml:space="preserve">Licenses outside of the state of Oregon. </w:t>
      </w:r>
    </w:p>
    <w:p w14:paraId="5CF2F682" w14:textId="77777777" w:rsidR="005F6459" w:rsidRDefault="005F6459" w:rsidP="005F6459">
      <w:pPr>
        <w:numPr>
          <w:ilvl w:val="0"/>
          <w:numId w:val="3"/>
        </w:numPr>
        <w:spacing w:after="0" w:line="240" w:lineRule="auto"/>
        <w:contextualSpacing/>
        <w:rPr>
          <w:rFonts w:ascii="Arial" w:eastAsia="Calibri" w:hAnsi="Arial" w:cs="Arial"/>
          <w:noProof/>
          <w:sz w:val="20"/>
          <w:szCs w:val="20"/>
        </w:rPr>
      </w:pPr>
      <w:r>
        <w:rPr>
          <w:rFonts w:ascii="Arial" w:eastAsia="Calibri" w:hAnsi="Arial" w:cs="Arial"/>
          <w:noProof/>
          <w:sz w:val="20"/>
          <w:szCs w:val="20"/>
        </w:rPr>
        <w:t>Dues outside of what is covered by WHA (see below for a list of dues paid for by WHA)</w:t>
      </w:r>
    </w:p>
    <w:p w14:paraId="6FE7B336" w14:textId="77777777" w:rsidR="005F6459" w:rsidRDefault="005F6459" w:rsidP="005F6459">
      <w:pPr>
        <w:spacing w:after="0" w:line="240" w:lineRule="auto"/>
        <w:ind w:left="720"/>
        <w:rPr>
          <w:rFonts w:ascii="Arial" w:eastAsia="Times New Roman" w:hAnsi="Arial" w:cs="Arial"/>
          <w:sz w:val="20"/>
          <w:szCs w:val="20"/>
        </w:rPr>
      </w:pPr>
    </w:p>
    <w:p w14:paraId="26D32497" w14:textId="77777777" w:rsidR="005F6459" w:rsidRDefault="005F6459" w:rsidP="005F6459">
      <w:pPr>
        <w:spacing w:after="0" w:line="240" w:lineRule="auto"/>
        <w:ind w:left="1620"/>
        <w:contextualSpacing/>
        <w:rPr>
          <w:rFonts w:ascii="Arial" w:eastAsia="Calibri" w:hAnsi="Arial" w:cs="Arial"/>
          <w:sz w:val="20"/>
          <w:szCs w:val="20"/>
          <w:u w:val="single"/>
        </w:rPr>
      </w:pPr>
      <w:r>
        <w:rPr>
          <w:rFonts w:ascii="Arial" w:eastAsia="Calibri" w:hAnsi="Arial" w:cs="Arial"/>
          <w:sz w:val="20"/>
          <w:szCs w:val="20"/>
          <w:u w:val="single"/>
        </w:rPr>
        <w:t xml:space="preserve">Dues paid by WHA and reimbursable outside this policy include:  </w:t>
      </w:r>
    </w:p>
    <w:p w14:paraId="0D2F8602" w14:textId="77777777" w:rsidR="005F6459" w:rsidRDefault="005F6459" w:rsidP="005F6459">
      <w:pPr>
        <w:numPr>
          <w:ilvl w:val="0"/>
          <w:numId w:val="4"/>
        </w:numPr>
        <w:spacing w:after="0" w:line="240" w:lineRule="auto"/>
        <w:contextualSpacing/>
        <w:rPr>
          <w:rFonts w:ascii="Arial" w:eastAsia="Calibri" w:hAnsi="Arial" w:cs="Arial"/>
          <w:sz w:val="20"/>
          <w:szCs w:val="20"/>
        </w:rPr>
      </w:pPr>
      <w:r>
        <w:rPr>
          <w:rFonts w:ascii="Arial" w:eastAsia="Calibri" w:hAnsi="Arial" w:cs="Arial"/>
          <w:sz w:val="20"/>
          <w:szCs w:val="20"/>
        </w:rPr>
        <w:t>DEA, ACOG, OMA, and ABOG recertification</w:t>
      </w:r>
    </w:p>
    <w:p w14:paraId="7334A356" w14:textId="77777777" w:rsidR="005F6459" w:rsidRDefault="005F6459" w:rsidP="005F6459">
      <w:pPr>
        <w:numPr>
          <w:ilvl w:val="0"/>
          <w:numId w:val="4"/>
        </w:numPr>
        <w:spacing w:after="0" w:line="240" w:lineRule="auto"/>
        <w:contextualSpacing/>
        <w:rPr>
          <w:rFonts w:ascii="Arial" w:eastAsia="Calibri" w:hAnsi="Arial" w:cs="Arial"/>
          <w:sz w:val="20"/>
          <w:szCs w:val="20"/>
        </w:rPr>
      </w:pPr>
      <w:r>
        <w:rPr>
          <w:rFonts w:ascii="Arial" w:eastAsia="Calibri" w:hAnsi="Arial" w:cs="Arial"/>
          <w:sz w:val="20"/>
          <w:szCs w:val="20"/>
        </w:rPr>
        <w:t>ACNM and AMCB for CNM’s</w:t>
      </w:r>
    </w:p>
    <w:p w14:paraId="456B0551" w14:textId="77777777" w:rsidR="005F6459" w:rsidRDefault="005F6459" w:rsidP="005F6459">
      <w:pPr>
        <w:numPr>
          <w:ilvl w:val="0"/>
          <w:numId w:val="4"/>
        </w:numPr>
        <w:spacing w:after="0" w:line="240" w:lineRule="auto"/>
        <w:contextualSpacing/>
        <w:rPr>
          <w:rFonts w:ascii="Arial" w:eastAsia="Calibri" w:hAnsi="Arial" w:cs="Arial"/>
          <w:sz w:val="20"/>
          <w:szCs w:val="20"/>
        </w:rPr>
      </w:pPr>
      <w:r>
        <w:rPr>
          <w:rFonts w:ascii="Arial" w:eastAsia="Calibri" w:hAnsi="Arial" w:cs="Arial"/>
          <w:sz w:val="20"/>
          <w:szCs w:val="20"/>
        </w:rPr>
        <w:t>ONA and AANP for Nurse Practitioners</w:t>
      </w:r>
    </w:p>
    <w:p w14:paraId="35B7BDA2" w14:textId="77777777" w:rsidR="005F6459" w:rsidRDefault="005F6459" w:rsidP="005F6459">
      <w:pPr>
        <w:numPr>
          <w:ilvl w:val="0"/>
          <w:numId w:val="4"/>
        </w:numPr>
        <w:spacing w:after="0" w:line="240" w:lineRule="auto"/>
        <w:contextualSpacing/>
        <w:rPr>
          <w:rFonts w:ascii="Arial" w:eastAsia="Calibri" w:hAnsi="Arial" w:cs="Arial"/>
          <w:sz w:val="20"/>
          <w:szCs w:val="20"/>
        </w:rPr>
      </w:pPr>
      <w:r>
        <w:rPr>
          <w:rFonts w:ascii="Arial" w:eastAsia="Calibri" w:hAnsi="Arial" w:cs="Arial"/>
          <w:sz w:val="20"/>
          <w:szCs w:val="20"/>
        </w:rPr>
        <w:t>OBSN – Oregon State Board of Nursing</w:t>
      </w:r>
    </w:p>
    <w:p w14:paraId="64F2B515" w14:textId="77777777" w:rsidR="005F6459" w:rsidRDefault="005F6459" w:rsidP="005F6459">
      <w:pPr>
        <w:numPr>
          <w:ilvl w:val="0"/>
          <w:numId w:val="4"/>
        </w:numPr>
        <w:spacing w:after="0" w:line="240" w:lineRule="auto"/>
        <w:contextualSpacing/>
        <w:rPr>
          <w:rFonts w:ascii="Arial" w:eastAsia="Calibri" w:hAnsi="Arial" w:cs="Arial"/>
          <w:sz w:val="20"/>
          <w:szCs w:val="20"/>
        </w:rPr>
      </w:pPr>
      <w:r>
        <w:rPr>
          <w:rFonts w:ascii="Arial" w:eastAsia="Calibri" w:hAnsi="Arial" w:cs="Arial"/>
          <w:sz w:val="20"/>
          <w:szCs w:val="20"/>
        </w:rPr>
        <w:t>SMFM and AIUM for MFM’s</w:t>
      </w:r>
    </w:p>
    <w:p w14:paraId="4E19E089" w14:textId="77777777" w:rsidR="005F6459" w:rsidRDefault="005F6459" w:rsidP="005F6459">
      <w:pPr>
        <w:numPr>
          <w:ilvl w:val="0"/>
          <w:numId w:val="4"/>
        </w:numPr>
        <w:spacing w:after="0" w:line="240" w:lineRule="auto"/>
        <w:contextualSpacing/>
        <w:rPr>
          <w:rFonts w:ascii="Arial" w:eastAsia="Calibri" w:hAnsi="Arial" w:cs="Arial"/>
          <w:sz w:val="20"/>
          <w:szCs w:val="20"/>
        </w:rPr>
      </w:pPr>
      <w:r>
        <w:rPr>
          <w:rFonts w:ascii="Arial" w:eastAsia="Calibri" w:hAnsi="Arial" w:cs="Arial"/>
          <w:sz w:val="20"/>
          <w:szCs w:val="20"/>
        </w:rPr>
        <w:t>ABGC and NSGA for Genetic Counselors</w:t>
      </w:r>
    </w:p>
    <w:p w14:paraId="51C7D5EA" w14:textId="77777777" w:rsidR="005F6459" w:rsidRDefault="005F6459" w:rsidP="005F6459">
      <w:pPr>
        <w:numPr>
          <w:ilvl w:val="0"/>
          <w:numId w:val="4"/>
        </w:numPr>
        <w:spacing w:after="0" w:line="240" w:lineRule="auto"/>
        <w:contextualSpacing/>
        <w:rPr>
          <w:rFonts w:ascii="Arial" w:eastAsia="Calibri" w:hAnsi="Arial" w:cs="Arial"/>
          <w:sz w:val="20"/>
          <w:szCs w:val="20"/>
        </w:rPr>
      </w:pPr>
      <w:r>
        <w:rPr>
          <w:rFonts w:ascii="Arial" w:eastAsia="Calibri" w:hAnsi="Arial" w:cs="Arial"/>
          <w:sz w:val="20"/>
          <w:szCs w:val="20"/>
        </w:rPr>
        <w:t>AAGL and SLS for GYN Surgeons</w:t>
      </w:r>
    </w:p>
    <w:p w14:paraId="7A664C4B" w14:textId="77777777" w:rsidR="005F6459" w:rsidRDefault="005F6459" w:rsidP="005F6459">
      <w:pPr>
        <w:numPr>
          <w:ilvl w:val="0"/>
          <w:numId w:val="4"/>
        </w:numPr>
        <w:spacing w:after="0" w:line="240" w:lineRule="auto"/>
        <w:contextualSpacing/>
        <w:rPr>
          <w:rFonts w:ascii="Arial" w:eastAsia="Calibri" w:hAnsi="Arial" w:cs="Arial"/>
          <w:sz w:val="20"/>
          <w:szCs w:val="20"/>
        </w:rPr>
      </w:pPr>
      <w:r>
        <w:rPr>
          <w:rFonts w:ascii="Arial" w:eastAsia="Calibri" w:hAnsi="Arial" w:cs="Arial"/>
          <w:sz w:val="20"/>
          <w:szCs w:val="20"/>
        </w:rPr>
        <w:t>AIUM for GYN U/S Readers</w:t>
      </w:r>
    </w:p>
    <w:p w14:paraId="4189D4BA" w14:textId="77777777" w:rsidR="005F6459" w:rsidRDefault="005F6459" w:rsidP="005F6459">
      <w:pPr>
        <w:numPr>
          <w:ilvl w:val="0"/>
          <w:numId w:val="4"/>
        </w:numPr>
        <w:spacing w:after="0" w:line="240" w:lineRule="auto"/>
        <w:contextualSpacing/>
        <w:rPr>
          <w:rFonts w:ascii="Arial" w:eastAsia="Calibri" w:hAnsi="Arial" w:cs="Arial"/>
          <w:sz w:val="20"/>
          <w:szCs w:val="20"/>
        </w:rPr>
      </w:pPr>
      <w:r>
        <w:rPr>
          <w:rFonts w:ascii="Arial" w:eastAsia="Calibri" w:hAnsi="Arial" w:cs="Arial"/>
          <w:sz w:val="20"/>
          <w:szCs w:val="20"/>
        </w:rPr>
        <w:lastRenderedPageBreak/>
        <w:t>ISCD for DXA Readers</w:t>
      </w:r>
    </w:p>
    <w:p w14:paraId="5FB2CA98" w14:textId="77777777" w:rsidR="005F6459" w:rsidRDefault="005F6459" w:rsidP="005F6459">
      <w:pPr>
        <w:numPr>
          <w:ilvl w:val="0"/>
          <w:numId w:val="4"/>
        </w:numPr>
        <w:spacing w:after="0" w:line="240" w:lineRule="auto"/>
        <w:contextualSpacing/>
        <w:rPr>
          <w:rFonts w:ascii="Arial" w:eastAsia="Calibri" w:hAnsi="Arial" w:cs="Arial"/>
          <w:sz w:val="20"/>
          <w:szCs w:val="20"/>
        </w:rPr>
      </w:pPr>
      <w:r>
        <w:rPr>
          <w:rFonts w:ascii="Arial" w:eastAsia="Calibri" w:hAnsi="Arial" w:cs="Arial"/>
          <w:sz w:val="20"/>
          <w:szCs w:val="20"/>
        </w:rPr>
        <w:t>Medical Staff Dues</w:t>
      </w:r>
    </w:p>
    <w:p w14:paraId="6913200E" w14:textId="77777777" w:rsidR="005F6459" w:rsidRDefault="005F6459" w:rsidP="005F6459">
      <w:pPr>
        <w:numPr>
          <w:ilvl w:val="0"/>
          <w:numId w:val="4"/>
        </w:numPr>
        <w:spacing w:after="0" w:line="240" w:lineRule="auto"/>
        <w:contextualSpacing/>
        <w:rPr>
          <w:rFonts w:ascii="Arial" w:eastAsia="Calibri" w:hAnsi="Arial" w:cs="Arial"/>
          <w:sz w:val="20"/>
          <w:szCs w:val="20"/>
        </w:rPr>
      </w:pPr>
      <w:r>
        <w:rPr>
          <w:rFonts w:ascii="Arial" w:eastAsia="Calibri" w:hAnsi="Arial" w:cs="Arial"/>
          <w:sz w:val="20"/>
          <w:szCs w:val="20"/>
        </w:rPr>
        <w:t>IPA Dues</w:t>
      </w:r>
    </w:p>
    <w:p w14:paraId="1DC19613" w14:textId="77777777" w:rsidR="005F6459" w:rsidRDefault="005F6459" w:rsidP="005F6459">
      <w:pPr>
        <w:spacing w:after="0" w:line="240" w:lineRule="auto"/>
        <w:ind w:left="1080"/>
        <w:jc w:val="both"/>
        <w:rPr>
          <w:rFonts w:ascii="Arial" w:eastAsia="Times New Roman" w:hAnsi="Arial" w:cs="Arial"/>
          <w:sz w:val="20"/>
          <w:szCs w:val="20"/>
        </w:rPr>
      </w:pPr>
    </w:p>
    <w:p w14:paraId="26A71A57" w14:textId="77777777" w:rsidR="005F6459" w:rsidRDefault="005F6459" w:rsidP="00F31FEB">
      <w:pPr>
        <w:tabs>
          <w:tab w:val="left" w:pos="1620"/>
        </w:tabs>
        <w:spacing w:after="0" w:line="240" w:lineRule="auto"/>
        <w:jc w:val="both"/>
        <w:rPr>
          <w:rFonts w:ascii="Arial" w:eastAsia="Times New Roman" w:hAnsi="Arial" w:cs="Arial"/>
          <w:sz w:val="20"/>
          <w:szCs w:val="20"/>
        </w:rPr>
      </w:pPr>
    </w:p>
    <w:p w14:paraId="73AA415C" w14:textId="77777777" w:rsidR="005F6459" w:rsidRDefault="005F6459" w:rsidP="005F6459">
      <w:pPr>
        <w:tabs>
          <w:tab w:val="left" w:pos="1620"/>
        </w:tabs>
        <w:spacing w:after="0" w:line="240" w:lineRule="auto"/>
        <w:ind w:left="-1080" w:firstLine="60"/>
        <w:jc w:val="both"/>
        <w:rPr>
          <w:rFonts w:ascii="Arial" w:eastAsia="Times New Roman" w:hAnsi="Arial" w:cs="Arial"/>
          <w:sz w:val="20"/>
          <w:szCs w:val="20"/>
        </w:rPr>
      </w:pPr>
    </w:p>
    <w:p w14:paraId="659A6ABE" w14:textId="77777777" w:rsidR="005F6459" w:rsidRDefault="005F6459" w:rsidP="005F6459">
      <w:pPr>
        <w:tabs>
          <w:tab w:val="left" w:pos="1620"/>
        </w:tabs>
        <w:spacing w:after="0" w:line="240" w:lineRule="auto"/>
        <w:ind w:left="-1080" w:firstLine="60"/>
        <w:jc w:val="both"/>
        <w:rPr>
          <w:rFonts w:ascii="Arial" w:eastAsia="Times New Roman" w:hAnsi="Arial" w:cs="Arial"/>
          <w:sz w:val="20"/>
          <w:szCs w:val="20"/>
        </w:rPr>
      </w:pPr>
    </w:p>
    <w:p w14:paraId="6FFDF2D5" w14:textId="77777777" w:rsidR="005F6459" w:rsidRDefault="005F6459" w:rsidP="005F6459">
      <w:pPr>
        <w:tabs>
          <w:tab w:val="left" w:pos="1620"/>
        </w:tabs>
        <w:spacing w:after="0" w:line="240" w:lineRule="auto"/>
        <w:ind w:left="90" w:firstLine="60"/>
        <w:jc w:val="both"/>
        <w:rPr>
          <w:rFonts w:ascii="Arial" w:eastAsia="Times New Roman" w:hAnsi="Arial" w:cs="Arial"/>
          <w:sz w:val="20"/>
          <w:szCs w:val="20"/>
        </w:rPr>
      </w:pPr>
    </w:p>
    <w:tbl>
      <w:tblPr>
        <w:tblW w:w="0" w:type="auto"/>
        <w:tblInd w:w="108" w:type="dxa"/>
        <w:tblLayout w:type="fixed"/>
        <w:tblLook w:val="04A0" w:firstRow="1" w:lastRow="0" w:firstColumn="1" w:lastColumn="0" w:noHBand="0" w:noVBand="1"/>
      </w:tblPr>
      <w:tblGrid>
        <w:gridCol w:w="4144"/>
        <w:gridCol w:w="441"/>
        <w:gridCol w:w="4056"/>
      </w:tblGrid>
      <w:tr w:rsidR="005F6459" w14:paraId="29343960" w14:textId="77777777" w:rsidTr="005F6459">
        <w:tc>
          <w:tcPr>
            <w:tcW w:w="4144" w:type="dxa"/>
            <w:hideMark/>
          </w:tcPr>
          <w:p w14:paraId="7C59C039" w14:textId="77777777" w:rsidR="005F6459" w:rsidRDefault="005F6459">
            <w:pPr>
              <w:spacing w:after="0" w:line="240" w:lineRule="auto"/>
              <w:rPr>
                <w:rFonts w:ascii="Arial" w:eastAsia="Times New Roman" w:hAnsi="Arial" w:cs="Times New Roman"/>
                <w:sz w:val="16"/>
                <w:szCs w:val="20"/>
              </w:rPr>
            </w:pPr>
            <w:r>
              <w:rPr>
                <w:rFonts w:ascii="Arial" w:hAnsi="Arial"/>
                <w:sz w:val="16"/>
              </w:rPr>
              <w:t>For signatures, see original in Human Resources</w:t>
            </w:r>
          </w:p>
        </w:tc>
        <w:tc>
          <w:tcPr>
            <w:tcW w:w="441" w:type="dxa"/>
          </w:tcPr>
          <w:p w14:paraId="1A304BD0" w14:textId="77777777" w:rsidR="005F6459" w:rsidRDefault="005F6459">
            <w:pPr>
              <w:spacing w:after="0" w:line="240" w:lineRule="auto"/>
              <w:rPr>
                <w:rFonts w:ascii="Arial" w:eastAsia="Times New Roman" w:hAnsi="Arial" w:cs="Times New Roman"/>
                <w:sz w:val="16"/>
                <w:szCs w:val="20"/>
              </w:rPr>
            </w:pPr>
          </w:p>
        </w:tc>
        <w:tc>
          <w:tcPr>
            <w:tcW w:w="4056" w:type="dxa"/>
          </w:tcPr>
          <w:p w14:paraId="49D91CD7" w14:textId="77777777" w:rsidR="005F6459" w:rsidRDefault="005F6459">
            <w:pPr>
              <w:spacing w:after="0" w:line="240" w:lineRule="auto"/>
              <w:rPr>
                <w:rFonts w:ascii="Arial" w:eastAsia="Times New Roman" w:hAnsi="Arial" w:cs="Times New Roman"/>
                <w:sz w:val="16"/>
                <w:szCs w:val="20"/>
              </w:rPr>
            </w:pPr>
          </w:p>
        </w:tc>
      </w:tr>
      <w:tr w:rsidR="005F6459" w14:paraId="1BD3EDD6" w14:textId="77777777" w:rsidTr="005F6459">
        <w:tc>
          <w:tcPr>
            <w:tcW w:w="4144" w:type="dxa"/>
            <w:tcBorders>
              <w:top w:val="single" w:sz="6" w:space="0" w:color="auto"/>
              <w:left w:val="nil"/>
              <w:bottom w:val="nil"/>
              <w:right w:val="nil"/>
            </w:tcBorders>
            <w:hideMark/>
          </w:tcPr>
          <w:p w14:paraId="5389E679" w14:textId="77777777" w:rsidR="005F6459" w:rsidRDefault="005F6459">
            <w:pPr>
              <w:tabs>
                <w:tab w:val="right" w:pos="3928"/>
              </w:tabs>
              <w:spacing w:after="0" w:line="240" w:lineRule="auto"/>
              <w:rPr>
                <w:rFonts w:ascii="Arial" w:eastAsia="Times New Roman" w:hAnsi="Arial" w:cs="Times New Roman"/>
                <w:sz w:val="16"/>
                <w:szCs w:val="20"/>
              </w:rPr>
            </w:pPr>
            <w:r>
              <w:rPr>
                <w:rFonts w:ascii="Arial" w:eastAsia="Times New Roman" w:hAnsi="Arial" w:cs="Times New Roman"/>
                <w:sz w:val="16"/>
                <w:szCs w:val="20"/>
              </w:rPr>
              <w:t>Management Committee President</w:t>
            </w:r>
          </w:p>
        </w:tc>
        <w:tc>
          <w:tcPr>
            <w:tcW w:w="441" w:type="dxa"/>
          </w:tcPr>
          <w:p w14:paraId="6C5B9E8C" w14:textId="77777777" w:rsidR="005F6459" w:rsidRDefault="005F6459">
            <w:pPr>
              <w:spacing w:after="0" w:line="240" w:lineRule="auto"/>
              <w:rPr>
                <w:rFonts w:ascii="Arial" w:eastAsia="Times New Roman" w:hAnsi="Arial" w:cs="Times New Roman"/>
                <w:sz w:val="16"/>
                <w:szCs w:val="20"/>
              </w:rPr>
            </w:pPr>
          </w:p>
        </w:tc>
        <w:tc>
          <w:tcPr>
            <w:tcW w:w="4056" w:type="dxa"/>
            <w:tcBorders>
              <w:top w:val="single" w:sz="6" w:space="0" w:color="auto"/>
              <w:left w:val="nil"/>
              <w:bottom w:val="nil"/>
              <w:right w:val="nil"/>
            </w:tcBorders>
            <w:hideMark/>
          </w:tcPr>
          <w:p w14:paraId="11DE64F6" w14:textId="77777777" w:rsidR="005F6459" w:rsidRDefault="005F6459">
            <w:pPr>
              <w:tabs>
                <w:tab w:val="right" w:pos="3840"/>
              </w:tabs>
              <w:spacing w:after="0" w:line="240" w:lineRule="auto"/>
              <w:rPr>
                <w:rFonts w:ascii="Arial" w:eastAsia="Times New Roman" w:hAnsi="Arial" w:cs="Times New Roman"/>
                <w:sz w:val="16"/>
                <w:szCs w:val="20"/>
              </w:rPr>
            </w:pPr>
            <w:r>
              <w:rPr>
                <w:rFonts w:ascii="Arial" w:eastAsia="Times New Roman" w:hAnsi="Arial" w:cs="Times New Roman"/>
                <w:sz w:val="16"/>
                <w:szCs w:val="20"/>
              </w:rPr>
              <w:t>Compensation Committee Chair</w:t>
            </w:r>
          </w:p>
        </w:tc>
      </w:tr>
    </w:tbl>
    <w:p w14:paraId="2C57F49F" w14:textId="77777777" w:rsidR="005F6459" w:rsidRDefault="005F6459" w:rsidP="005F6459">
      <w:pPr>
        <w:spacing w:after="0" w:line="240" w:lineRule="auto"/>
        <w:rPr>
          <w:rFonts w:ascii="Arial" w:eastAsia="Times New Roman" w:hAnsi="Arial" w:cs="Times New Roman"/>
          <w:sz w:val="16"/>
          <w:szCs w:val="20"/>
        </w:rPr>
      </w:pPr>
    </w:p>
    <w:tbl>
      <w:tblPr>
        <w:tblW w:w="0" w:type="auto"/>
        <w:tblInd w:w="108" w:type="dxa"/>
        <w:tblLayout w:type="fixed"/>
        <w:tblLook w:val="04A0" w:firstRow="1" w:lastRow="0" w:firstColumn="1" w:lastColumn="0" w:noHBand="0" w:noVBand="1"/>
      </w:tblPr>
      <w:tblGrid>
        <w:gridCol w:w="4144"/>
        <w:gridCol w:w="441"/>
        <w:gridCol w:w="4056"/>
      </w:tblGrid>
      <w:tr w:rsidR="005F6459" w14:paraId="4365F406" w14:textId="77777777" w:rsidTr="005F6459">
        <w:tc>
          <w:tcPr>
            <w:tcW w:w="4144" w:type="dxa"/>
          </w:tcPr>
          <w:p w14:paraId="45505559" w14:textId="77777777" w:rsidR="005F6459" w:rsidRDefault="005F6459">
            <w:pPr>
              <w:spacing w:after="0" w:line="240" w:lineRule="auto"/>
              <w:rPr>
                <w:rFonts w:ascii="Arial" w:eastAsia="Times New Roman" w:hAnsi="Arial" w:cs="Times New Roman"/>
                <w:sz w:val="16"/>
                <w:szCs w:val="20"/>
              </w:rPr>
            </w:pPr>
          </w:p>
          <w:p w14:paraId="35E70C27" w14:textId="77777777" w:rsidR="005F6459" w:rsidRDefault="005F6459">
            <w:pPr>
              <w:spacing w:after="0" w:line="240" w:lineRule="auto"/>
              <w:rPr>
                <w:rFonts w:ascii="Arial" w:eastAsia="Times New Roman" w:hAnsi="Arial" w:cs="Times New Roman"/>
                <w:sz w:val="16"/>
                <w:szCs w:val="20"/>
              </w:rPr>
            </w:pPr>
          </w:p>
        </w:tc>
        <w:tc>
          <w:tcPr>
            <w:tcW w:w="441" w:type="dxa"/>
          </w:tcPr>
          <w:p w14:paraId="7BC9FF51" w14:textId="77777777" w:rsidR="005F6459" w:rsidRDefault="005F6459">
            <w:pPr>
              <w:spacing w:after="0" w:line="240" w:lineRule="auto"/>
              <w:rPr>
                <w:rFonts w:ascii="Arial" w:eastAsia="Times New Roman" w:hAnsi="Arial" w:cs="Times New Roman"/>
                <w:sz w:val="16"/>
                <w:szCs w:val="20"/>
              </w:rPr>
            </w:pPr>
          </w:p>
        </w:tc>
        <w:tc>
          <w:tcPr>
            <w:tcW w:w="4056" w:type="dxa"/>
          </w:tcPr>
          <w:p w14:paraId="0F54CDC0" w14:textId="77777777" w:rsidR="005F6459" w:rsidRDefault="005F6459">
            <w:pPr>
              <w:spacing w:after="0" w:line="240" w:lineRule="auto"/>
              <w:rPr>
                <w:rFonts w:ascii="Arial" w:eastAsia="Times New Roman" w:hAnsi="Arial" w:cs="Times New Roman"/>
                <w:sz w:val="16"/>
                <w:szCs w:val="20"/>
              </w:rPr>
            </w:pPr>
          </w:p>
        </w:tc>
      </w:tr>
      <w:tr w:rsidR="005F6459" w14:paraId="1E5896E8" w14:textId="77777777" w:rsidTr="005F6459">
        <w:tc>
          <w:tcPr>
            <w:tcW w:w="4144" w:type="dxa"/>
            <w:tcBorders>
              <w:top w:val="single" w:sz="6" w:space="0" w:color="auto"/>
              <w:left w:val="nil"/>
              <w:bottom w:val="nil"/>
              <w:right w:val="nil"/>
            </w:tcBorders>
            <w:hideMark/>
          </w:tcPr>
          <w:p w14:paraId="394F69A4" w14:textId="77777777" w:rsidR="005F6459" w:rsidRDefault="005F6459">
            <w:pPr>
              <w:tabs>
                <w:tab w:val="right" w:pos="3928"/>
              </w:tabs>
              <w:spacing w:after="0" w:line="240" w:lineRule="auto"/>
              <w:rPr>
                <w:rFonts w:ascii="Arial" w:eastAsia="Times New Roman" w:hAnsi="Arial" w:cs="Times New Roman"/>
                <w:sz w:val="16"/>
                <w:szCs w:val="20"/>
              </w:rPr>
            </w:pPr>
            <w:r>
              <w:rPr>
                <w:rFonts w:ascii="Arial" w:eastAsia="Times New Roman" w:hAnsi="Arial" w:cs="Times New Roman"/>
                <w:sz w:val="16"/>
                <w:szCs w:val="20"/>
              </w:rPr>
              <w:t>Chief Financial Officer</w:t>
            </w:r>
          </w:p>
        </w:tc>
        <w:tc>
          <w:tcPr>
            <w:tcW w:w="441" w:type="dxa"/>
          </w:tcPr>
          <w:p w14:paraId="36947BCA" w14:textId="77777777" w:rsidR="005F6459" w:rsidRDefault="005F6459">
            <w:pPr>
              <w:spacing w:after="0" w:line="240" w:lineRule="auto"/>
              <w:rPr>
                <w:rFonts w:ascii="Arial" w:eastAsia="Times New Roman" w:hAnsi="Arial" w:cs="Times New Roman"/>
                <w:sz w:val="16"/>
                <w:szCs w:val="20"/>
              </w:rPr>
            </w:pPr>
          </w:p>
        </w:tc>
        <w:tc>
          <w:tcPr>
            <w:tcW w:w="4056" w:type="dxa"/>
            <w:tcBorders>
              <w:top w:val="single" w:sz="6" w:space="0" w:color="auto"/>
              <w:left w:val="nil"/>
              <w:bottom w:val="nil"/>
              <w:right w:val="nil"/>
            </w:tcBorders>
            <w:hideMark/>
          </w:tcPr>
          <w:p w14:paraId="795DCB99" w14:textId="77777777" w:rsidR="005F6459" w:rsidRDefault="005F6459">
            <w:pPr>
              <w:tabs>
                <w:tab w:val="right" w:pos="3840"/>
              </w:tabs>
              <w:spacing w:after="0" w:line="240" w:lineRule="auto"/>
              <w:rPr>
                <w:rFonts w:ascii="Arial" w:eastAsia="Times New Roman" w:hAnsi="Arial" w:cs="Times New Roman"/>
                <w:sz w:val="16"/>
                <w:szCs w:val="20"/>
              </w:rPr>
            </w:pPr>
            <w:r>
              <w:rPr>
                <w:rFonts w:ascii="Arial" w:eastAsia="Times New Roman" w:hAnsi="Arial" w:cs="Times New Roman"/>
                <w:sz w:val="16"/>
                <w:szCs w:val="20"/>
              </w:rPr>
              <w:t>Chief Medical Officer</w:t>
            </w:r>
          </w:p>
        </w:tc>
      </w:tr>
    </w:tbl>
    <w:p w14:paraId="47A21288" w14:textId="77777777" w:rsidR="005F6459" w:rsidRDefault="005F6459" w:rsidP="005F6459">
      <w:pPr>
        <w:spacing w:after="0" w:line="240" w:lineRule="auto"/>
        <w:rPr>
          <w:rFonts w:ascii="Arial" w:eastAsia="Times New Roman" w:hAnsi="Arial" w:cs="Times New Roman"/>
          <w:sz w:val="16"/>
          <w:szCs w:val="20"/>
        </w:rPr>
      </w:pPr>
    </w:p>
    <w:p w14:paraId="2FADB37D" w14:textId="77777777" w:rsidR="005F6459" w:rsidRDefault="005F6459" w:rsidP="005F6459">
      <w:pPr>
        <w:spacing w:after="0" w:line="240" w:lineRule="auto"/>
        <w:rPr>
          <w:rFonts w:ascii="Arial" w:eastAsia="Times New Roman" w:hAnsi="Arial" w:cs="Times New Roman"/>
          <w:sz w:val="16"/>
          <w:szCs w:val="20"/>
        </w:rPr>
      </w:pPr>
    </w:p>
    <w:p w14:paraId="35CB9236" w14:textId="77777777" w:rsidR="005F6459" w:rsidRDefault="005F6459" w:rsidP="005F6459">
      <w:pPr>
        <w:spacing w:after="0" w:line="240" w:lineRule="auto"/>
        <w:rPr>
          <w:rFonts w:ascii="Arial" w:eastAsia="Times New Roman" w:hAnsi="Arial" w:cs="Times New Roman"/>
          <w:sz w:val="16"/>
          <w:szCs w:val="20"/>
        </w:rPr>
      </w:pPr>
      <w:r>
        <w:rPr>
          <w:rFonts w:ascii="Arial" w:eastAsia="Times New Roman" w:hAnsi="Arial" w:cs="Times New Roman"/>
          <w:sz w:val="16"/>
          <w:szCs w:val="20"/>
        </w:rPr>
        <w:t>FORMULATED</w:t>
      </w:r>
      <w:r>
        <w:rPr>
          <w:rFonts w:ascii="Arial" w:eastAsia="Times New Roman" w:hAnsi="Arial" w:cs="Times New Roman"/>
          <w:sz w:val="16"/>
          <w:szCs w:val="20"/>
        </w:rPr>
        <w:tab/>
        <w:t>October 1, 2017</w:t>
      </w:r>
    </w:p>
    <w:p w14:paraId="5DB4E640" w14:textId="77777777" w:rsidR="005F6459" w:rsidRDefault="005F6459" w:rsidP="005F6459">
      <w:pPr>
        <w:spacing w:after="0" w:line="240" w:lineRule="auto"/>
        <w:rPr>
          <w:rFonts w:ascii="Arial" w:eastAsia="Times New Roman" w:hAnsi="Arial" w:cs="Times New Roman"/>
          <w:sz w:val="16"/>
          <w:szCs w:val="20"/>
        </w:rPr>
      </w:pPr>
      <w:r>
        <w:rPr>
          <w:rFonts w:ascii="Arial" w:eastAsia="Times New Roman" w:hAnsi="Arial" w:cs="Times New Roman"/>
          <w:sz w:val="16"/>
          <w:szCs w:val="20"/>
        </w:rPr>
        <w:t>REVISED</w:t>
      </w:r>
      <w:r>
        <w:rPr>
          <w:rFonts w:ascii="Arial" w:eastAsia="Times New Roman" w:hAnsi="Arial" w:cs="Times New Roman"/>
          <w:sz w:val="16"/>
          <w:szCs w:val="20"/>
        </w:rPr>
        <w:tab/>
      </w:r>
      <w:r>
        <w:rPr>
          <w:rFonts w:ascii="Arial" w:eastAsia="Times New Roman" w:hAnsi="Arial" w:cs="Times New Roman"/>
          <w:sz w:val="16"/>
          <w:szCs w:val="20"/>
        </w:rPr>
        <w:tab/>
        <w:t>October 11, 2019</w:t>
      </w:r>
    </w:p>
    <w:p w14:paraId="7FF20DC5" w14:textId="77777777" w:rsidR="00A85850" w:rsidRDefault="00A85850" w:rsidP="005F6459">
      <w:pPr>
        <w:spacing w:after="0" w:line="240" w:lineRule="auto"/>
        <w:rPr>
          <w:rFonts w:ascii="Arial" w:eastAsia="Times New Roman" w:hAnsi="Arial" w:cs="Times New Roman"/>
          <w:sz w:val="16"/>
          <w:szCs w:val="20"/>
        </w:rPr>
      </w:pPr>
      <w:r>
        <w:rPr>
          <w:rFonts w:ascii="Arial" w:eastAsia="Times New Roman" w:hAnsi="Arial" w:cs="Times New Roman"/>
          <w:sz w:val="16"/>
          <w:szCs w:val="20"/>
        </w:rPr>
        <w:t>REVISED</w:t>
      </w:r>
      <w:r>
        <w:rPr>
          <w:rFonts w:ascii="Arial" w:eastAsia="Times New Roman" w:hAnsi="Arial" w:cs="Times New Roman"/>
          <w:sz w:val="16"/>
          <w:szCs w:val="20"/>
        </w:rPr>
        <w:tab/>
      </w:r>
      <w:r>
        <w:rPr>
          <w:rFonts w:ascii="Arial" w:eastAsia="Times New Roman" w:hAnsi="Arial" w:cs="Times New Roman"/>
          <w:sz w:val="16"/>
          <w:szCs w:val="20"/>
        </w:rPr>
        <w:tab/>
      </w:r>
      <w:r w:rsidR="0012556C">
        <w:rPr>
          <w:rFonts w:ascii="Arial" w:eastAsia="Times New Roman" w:hAnsi="Arial" w:cs="Times New Roman"/>
          <w:sz w:val="16"/>
          <w:szCs w:val="20"/>
        </w:rPr>
        <w:t>January 10</w:t>
      </w:r>
      <w:r>
        <w:rPr>
          <w:rFonts w:ascii="Arial" w:eastAsia="Times New Roman" w:hAnsi="Arial" w:cs="Times New Roman"/>
          <w:sz w:val="16"/>
          <w:szCs w:val="20"/>
        </w:rPr>
        <w:t>, 20</w:t>
      </w:r>
      <w:r w:rsidR="0012556C">
        <w:rPr>
          <w:rFonts w:ascii="Arial" w:eastAsia="Times New Roman" w:hAnsi="Arial" w:cs="Times New Roman"/>
          <w:sz w:val="16"/>
          <w:szCs w:val="20"/>
        </w:rPr>
        <w:t>20</w:t>
      </w:r>
    </w:p>
    <w:p w14:paraId="48F035B5" w14:textId="5BE8AD98" w:rsidR="00DE296E" w:rsidRDefault="00DE296E" w:rsidP="005F6459">
      <w:pPr>
        <w:spacing w:after="0" w:line="240" w:lineRule="auto"/>
      </w:pPr>
      <w:r>
        <w:rPr>
          <w:rFonts w:ascii="Arial" w:eastAsia="Times New Roman" w:hAnsi="Arial" w:cs="Times New Roman"/>
          <w:sz w:val="16"/>
          <w:szCs w:val="20"/>
        </w:rPr>
        <w:t>REVISED</w:t>
      </w:r>
      <w:r>
        <w:rPr>
          <w:rFonts w:ascii="Arial" w:eastAsia="Times New Roman" w:hAnsi="Arial" w:cs="Times New Roman"/>
          <w:sz w:val="16"/>
          <w:szCs w:val="20"/>
        </w:rPr>
        <w:tab/>
      </w:r>
      <w:r>
        <w:rPr>
          <w:rFonts w:ascii="Arial" w:eastAsia="Times New Roman" w:hAnsi="Arial" w:cs="Times New Roman"/>
          <w:sz w:val="16"/>
          <w:szCs w:val="20"/>
        </w:rPr>
        <w:tab/>
        <w:t>July 7, 2025</w:t>
      </w:r>
    </w:p>
    <w:p w14:paraId="04074DAF" w14:textId="77777777" w:rsidR="00390B27" w:rsidRDefault="00390B27"/>
    <w:sectPr w:rsidR="00390B27">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F1E09" w14:textId="77777777" w:rsidR="0012556C" w:rsidRDefault="0012556C" w:rsidP="0012556C">
      <w:pPr>
        <w:spacing w:after="0" w:line="240" w:lineRule="auto"/>
      </w:pPr>
      <w:r>
        <w:separator/>
      </w:r>
    </w:p>
  </w:endnote>
  <w:endnote w:type="continuationSeparator" w:id="0">
    <w:p w14:paraId="476831AD" w14:textId="77777777" w:rsidR="0012556C" w:rsidRDefault="0012556C" w:rsidP="001255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0A107" w14:textId="77777777" w:rsidR="00390B27" w:rsidRDefault="00390B27" w:rsidP="00390B27">
    <w:pPr>
      <w:pStyle w:val="Header"/>
      <w:jc w:val="center"/>
      <w:rPr>
        <w:rFonts w:ascii="Tahoma" w:hAnsi="Tahoma" w:cs="Tahoma"/>
        <w:i/>
        <w:iCs/>
        <w:sz w:val="16"/>
        <w:szCs w:val="16"/>
      </w:rPr>
    </w:pPr>
  </w:p>
  <w:p w14:paraId="22DE5AB1" w14:textId="77777777" w:rsidR="00390B27" w:rsidRDefault="00390B27" w:rsidP="00390B27">
    <w:pPr>
      <w:pStyle w:val="Footer"/>
      <w:jc w:val="center"/>
      <w:rPr>
        <w:rFonts w:ascii="Tahoma" w:hAnsi="Tahoma" w:cs="Tahoma"/>
        <w:i/>
        <w:iCs/>
        <w:sz w:val="16"/>
        <w:szCs w:val="16"/>
      </w:rPr>
    </w:pPr>
    <w:r>
      <w:rPr>
        <w:rFonts w:ascii="Tahoma" w:hAnsi="Tahoma" w:cs="Tahoma"/>
        <w:i/>
        <w:iCs/>
        <w:sz w:val="16"/>
        <w:szCs w:val="16"/>
      </w:rPr>
      <w:t>Service     Diversity     Integrity     Excellence     Teamwork     Belonging     Wellbeing</w:t>
    </w:r>
  </w:p>
  <w:p w14:paraId="72679BA8" w14:textId="77777777" w:rsidR="00F86B61" w:rsidRDefault="00F86B61" w:rsidP="00390B27">
    <w:pPr>
      <w:pStyle w:val="Footer"/>
      <w:jc w:val="center"/>
      <w:rPr>
        <w:rFonts w:ascii="Tahoma" w:hAnsi="Tahoma" w:cs="Tahoma"/>
        <w:i/>
        <w:iCs/>
        <w:sz w:val="16"/>
        <w:szCs w:val="16"/>
      </w:rPr>
    </w:pPr>
  </w:p>
  <w:p w14:paraId="2ABEE025" w14:textId="77777777" w:rsidR="00F86B61" w:rsidRPr="00FE778C" w:rsidRDefault="00F86B61" w:rsidP="00F86B61">
    <w:pPr>
      <w:pStyle w:val="Footer"/>
      <w:jc w:val="right"/>
      <w:rPr>
        <w:rFonts w:ascii="Tahoma" w:hAnsi="Tahoma" w:cs="Tahoma"/>
        <w:iCs/>
        <w:sz w:val="16"/>
        <w:szCs w:val="16"/>
      </w:rPr>
    </w:pPr>
    <w:r w:rsidRPr="00FE778C">
      <w:rPr>
        <w:rFonts w:ascii="Tahoma" w:hAnsi="Tahoma" w:cs="Tahoma"/>
        <w:iCs/>
        <w:sz w:val="16"/>
        <w:szCs w:val="16"/>
      </w:rPr>
      <w:t xml:space="preserve">Page </w:t>
    </w:r>
    <w:r w:rsidRPr="00FE778C">
      <w:rPr>
        <w:rFonts w:ascii="Tahoma" w:hAnsi="Tahoma" w:cs="Tahoma"/>
        <w:iCs/>
        <w:sz w:val="16"/>
        <w:szCs w:val="16"/>
      </w:rPr>
      <w:fldChar w:fldCharType="begin"/>
    </w:r>
    <w:r w:rsidRPr="00FE778C">
      <w:rPr>
        <w:rFonts w:ascii="Tahoma" w:hAnsi="Tahoma" w:cs="Tahoma"/>
        <w:iCs/>
        <w:sz w:val="16"/>
        <w:szCs w:val="16"/>
      </w:rPr>
      <w:instrText xml:space="preserve"> PAGE </w:instrText>
    </w:r>
    <w:r w:rsidRPr="00FE778C">
      <w:rPr>
        <w:rFonts w:ascii="Tahoma" w:hAnsi="Tahoma" w:cs="Tahoma"/>
        <w:iCs/>
        <w:sz w:val="16"/>
        <w:szCs w:val="16"/>
      </w:rPr>
      <w:fldChar w:fldCharType="separate"/>
    </w:r>
    <w:r>
      <w:rPr>
        <w:rFonts w:ascii="Tahoma" w:hAnsi="Tahoma" w:cs="Tahoma"/>
        <w:iCs/>
        <w:sz w:val="16"/>
        <w:szCs w:val="16"/>
      </w:rPr>
      <w:t>1</w:t>
    </w:r>
    <w:r w:rsidRPr="00FE778C">
      <w:rPr>
        <w:rFonts w:ascii="Tahoma" w:hAnsi="Tahoma" w:cs="Tahoma"/>
        <w:iCs/>
        <w:sz w:val="16"/>
        <w:szCs w:val="16"/>
      </w:rPr>
      <w:fldChar w:fldCharType="end"/>
    </w:r>
    <w:r w:rsidRPr="00FE778C">
      <w:rPr>
        <w:rFonts w:ascii="Tahoma" w:hAnsi="Tahoma" w:cs="Tahoma"/>
        <w:iCs/>
        <w:sz w:val="16"/>
        <w:szCs w:val="16"/>
      </w:rPr>
      <w:t xml:space="preserve"> of </w:t>
    </w:r>
    <w:r w:rsidRPr="00FE778C">
      <w:rPr>
        <w:rFonts w:ascii="Tahoma" w:hAnsi="Tahoma" w:cs="Tahoma"/>
        <w:iCs/>
        <w:sz w:val="16"/>
        <w:szCs w:val="16"/>
      </w:rPr>
      <w:fldChar w:fldCharType="begin"/>
    </w:r>
    <w:r w:rsidRPr="00FE778C">
      <w:rPr>
        <w:rFonts w:ascii="Tahoma" w:hAnsi="Tahoma" w:cs="Tahoma"/>
        <w:iCs/>
        <w:sz w:val="16"/>
        <w:szCs w:val="16"/>
      </w:rPr>
      <w:instrText xml:space="preserve"> NUMPAGES </w:instrText>
    </w:r>
    <w:r w:rsidRPr="00FE778C">
      <w:rPr>
        <w:rFonts w:ascii="Tahoma" w:hAnsi="Tahoma" w:cs="Tahoma"/>
        <w:iCs/>
        <w:sz w:val="16"/>
        <w:szCs w:val="16"/>
      </w:rPr>
      <w:fldChar w:fldCharType="separate"/>
    </w:r>
    <w:r>
      <w:rPr>
        <w:rFonts w:ascii="Tahoma" w:hAnsi="Tahoma" w:cs="Tahoma"/>
        <w:iCs/>
        <w:sz w:val="16"/>
        <w:szCs w:val="16"/>
      </w:rPr>
      <w:t>1</w:t>
    </w:r>
    <w:r w:rsidRPr="00FE778C">
      <w:rPr>
        <w:rFonts w:ascii="Tahoma" w:hAnsi="Tahoma" w:cs="Tahoma"/>
        <w:iCs/>
        <w:sz w:val="16"/>
        <w:szCs w:val="16"/>
      </w:rPr>
      <w:fldChar w:fldCharType="end"/>
    </w:r>
  </w:p>
  <w:p w14:paraId="3E06F1B5" w14:textId="45EA69B4" w:rsidR="00F86B61" w:rsidRPr="00FE778C" w:rsidRDefault="00F86B61" w:rsidP="00F86B61">
    <w:pPr>
      <w:pStyle w:val="Footer"/>
      <w:jc w:val="right"/>
      <w:rPr>
        <w:rFonts w:ascii="Tahoma" w:hAnsi="Tahoma" w:cs="Tahoma"/>
        <w:sz w:val="16"/>
        <w:szCs w:val="16"/>
      </w:rPr>
    </w:pPr>
    <w:r>
      <w:rPr>
        <w:rFonts w:ascii="Tahoma" w:hAnsi="Tahoma" w:cs="Tahoma"/>
        <w:sz w:val="16"/>
        <w:szCs w:val="16"/>
      </w:rPr>
      <w:t>Clinician Business Expense Reimbursement</w:t>
    </w:r>
  </w:p>
  <w:p w14:paraId="17980510" w14:textId="77777777" w:rsidR="00F86B61" w:rsidRDefault="00F86B61" w:rsidP="00390B27">
    <w:pPr>
      <w:pStyle w:val="Footer"/>
      <w:jc w:val="center"/>
      <w:rPr>
        <w:rFonts w:ascii="Tahoma" w:hAnsi="Tahoma" w:cs="Tahoma"/>
        <w:i/>
        <w:iCs/>
        <w:sz w:val="16"/>
        <w:szCs w:val="16"/>
      </w:rPr>
    </w:pPr>
  </w:p>
  <w:p w14:paraId="2D02A66C" w14:textId="77777777" w:rsidR="00537CCD" w:rsidRDefault="00537CCD">
    <w:pPr>
      <w:pStyle w:val="Footer"/>
    </w:pPr>
  </w:p>
  <w:p w14:paraId="59B73AE6" w14:textId="77777777" w:rsidR="00537CCD" w:rsidRDefault="00537C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95689" w14:textId="77777777" w:rsidR="0012556C" w:rsidRDefault="0012556C" w:rsidP="0012556C">
      <w:pPr>
        <w:spacing w:after="0" w:line="240" w:lineRule="auto"/>
      </w:pPr>
      <w:r>
        <w:separator/>
      </w:r>
    </w:p>
  </w:footnote>
  <w:footnote w:type="continuationSeparator" w:id="0">
    <w:p w14:paraId="353FDB5E" w14:textId="77777777" w:rsidR="0012556C" w:rsidRDefault="0012556C" w:rsidP="001255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37237" w14:textId="77777777" w:rsidR="0012556C" w:rsidRDefault="0012556C" w:rsidP="0012556C">
    <w:pPr>
      <w:pStyle w:val="Header"/>
      <w:rPr>
        <w:rFonts w:ascii="Garamond" w:hAnsi="Garamond"/>
        <w:b/>
        <w:sz w:val="28"/>
      </w:rPr>
    </w:pPr>
    <w:r>
      <w:rPr>
        <w:rFonts w:ascii="Garamond" w:hAnsi="Garamond"/>
        <w:b/>
        <w:sz w:val="28"/>
      </w:rPr>
      <w:t xml:space="preserve">Women's Healthcare Associates </w:t>
    </w:r>
  </w:p>
  <w:p w14:paraId="59218BB6" w14:textId="77777777" w:rsidR="0012556C" w:rsidRDefault="0012556C" w:rsidP="0012556C">
    <w:pPr>
      <w:pStyle w:val="Header"/>
      <w:rPr>
        <w:rFonts w:ascii="Garamond" w:hAnsi="Garamond"/>
        <w:b/>
        <w:sz w:val="28"/>
      </w:rPr>
    </w:pPr>
    <w:r>
      <w:rPr>
        <w:rFonts w:ascii="Garamond" w:hAnsi="Garamond"/>
        <w:b/>
        <w:sz w:val="28"/>
      </w:rPr>
      <w:t>Compensation Provider Policy and Procedure Manual</w:t>
    </w:r>
  </w:p>
  <w:p w14:paraId="76F9ACE4" w14:textId="77777777" w:rsidR="0012556C" w:rsidRDefault="001255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333EB"/>
    <w:multiLevelType w:val="hybridMultilevel"/>
    <w:tmpl w:val="E0104488"/>
    <w:lvl w:ilvl="0" w:tplc="04090001">
      <w:start w:val="1"/>
      <w:numFmt w:val="bullet"/>
      <w:lvlText w:val=""/>
      <w:lvlJc w:val="left"/>
      <w:pPr>
        <w:ind w:left="2340" w:hanging="360"/>
      </w:pPr>
      <w:rPr>
        <w:rFonts w:ascii="Symbol" w:hAnsi="Symbol" w:hint="default"/>
      </w:rPr>
    </w:lvl>
    <w:lvl w:ilvl="1" w:tplc="04090003">
      <w:start w:val="1"/>
      <w:numFmt w:val="bullet"/>
      <w:lvlText w:val="o"/>
      <w:lvlJc w:val="left"/>
      <w:pPr>
        <w:ind w:left="3060" w:hanging="360"/>
      </w:pPr>
      <w:rPr>
        <w:rFonts w:ascii="Courier New" w:hAnsi="Courier New" w:cs="Courier New" w:hint="default"/>
      </w:rPr>
    </w:lvl>
    <w:lvl w:ilvl="2" w:tplc="04090005">
      <w:start w:val="1"/>
      <w:numFmt w:val="bullet"/>
      <w:lvlText w:val=""/>
      <w:lvlJc w:val="left"/>
      <w:pPr>
        <w:ind w:left="3780" w:hanging="360"/>
      </w:pPr>
      <w:rPr>
        <w:rFonts w:ascii="Wingdings" w:hAnsi="Wingdings" w:hint="default"/>
      </w:rPr>
    </w:lvl>
    <w:lvl w:ilvl="3" w:tplc="04090001">
      <w:start w:val="1"/>
      <w:numFmt w:val="bullet"/>
      <w:lvlText w:val=""/>
      <w:lvlJc w:val="left"/>
      <w:pPr>
        <w:ind w:left="4500" w:hanging="360"/>
      </w:pPr>
      <w:rPr>
        <w:rFonts w:ascii="Symbol" w:hAnsi="Symbol" w:hint="default"/>
      </w:rPr>
    </w:lvl>
    <w:lvl w:ilvl="4" w:tplc="04090003">
      <w:start w:val="1"/>
      <w:numFmt w:val="bullet"/>
      <w:lvlText w:val="o"/>
      <w:lvlJc w:val="left"/>
      <w:pPr>
        <w:ind w:left="5220" w:hanging="360"/>
      </w:pPr>
      <w:rPr>
        <w:rFonts w:ascii="Courier New" w:hAnsi="Courier New" w:cs="Courier New" w:hint="default"/>
      </w:rPr>
    </w:lvl>
    <w:lvl w:ilvl="5" w:tplc="04090005">
      <w:start w:val="1"/>
      <w:numFmt w:val="bullet"/>
      <w:lvlText w:val=""/>
      <w:lvlJc w:val="left"/>
      <w:pPr>
        <w:ind w:left="5940" w:hanging="360"/>
      </w:pPr>
      <w:rPr>
        <w:rFonts w:ascii="Wingdings" w:hAnsi="Wingdings" w:hint="default"/>
      </w:rPr>
    </w:lvl>
    <w:lvl w:ilvl="6" w:tplc="04090001">
      <w:start w:val="1"/>
      <w:numFmt w:val="bullet"/>
      <w:lvlText w:val=""/>
      <w:lvlJc w:val="left"/>
      <w:pPr>
        <w:ind w:left="6660" w:hanging="360"/>
      </w:pPr>
      <w:rPr>
        <w:rFonts w:ascii="Symbol" w:hAnsi="Symbol" w:hint="default"/>
      </w:rPr>
    </w:lvl>
    <w:lvl w:ilvl="7" w:tplc="04090003">
      <w:start w:val="1"/>
      <w:numFmt w:val="bullet"/>
      <w:lvlText w:val="o"/>
      <w:lvlJc w:val="left"/>
      <w:pPr>
        <w:ind w:left="7380" w:hanging="360"/>
      </w:pPr>
      <w:rPr>
        <w:rFonts w:ascii="Courier New" w:hAnsi="Courier New" w:cs="Courier New" w:hint="default"/>
      </w:rPr>
    </w:lvl>
    <w:lvl w:ilvl="8" w:tplc="04090005">
      <w:start w:val="1"/>
      <w:numFmt w:val="bullet"/>
      <w:lvlText w:val=""/>
      <w:lvlJc w:val="left"/>
      <w:pPr>
        <w:ind w:left="8100" w:hanging="360"/>
      </w:pPr>
      <w:rPr>
        <w:rFonts w:ascii="Wingdings" w:hAnsi="Wingdings" w:hint="default"/>
      </w:rPr>
    </w:lvl>
  </w:abstractNum>
  <w:abstractNum w:abstractNumId="1" w15:restartNumberingAfterBreak="0">
    <w:nsid w:val="40CF7ACA"/>
    <w:multiLevelType w:val="hybridMultilevel"/>
    <w:tmpl w:val="E166BAA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558F235A"/>
    <w:multiLevelType w:val="hybridMultilevel"/>
    <w:tmpl w:val="C2302C4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60A61720"/>
    <w:multiLevelType w:val="hybridMultilevel"/>
    <w:tmpl w:val="96549356"/>
    <w:lvl w:ilvl="0" w:tplc="04090001">
      <w:start w:val="1"/>
      <w:numFmt w:val="bullet"/>
      <w:lvlText w:val=""/>
      <w:lvlJc w:val="left"/>
      <w:pPr>
        <w:ind w:left="2340" w:hanging="360"/>
      </w:pPr>
      <w:rPr>
        <w:rFonts w:ascii="Symbol" w:hAnsi="Symbol" w:hint="default"/>
      </w:rPr>
    </w:lvl>
    <w:lvl w:ilvl="1" w:tplc="04090003">
      <w:start w:val="1"/>
      <w:numFmt w:val="bullet"/>
      <w:lvlText w:val="o"/>
      <w:lvlJc w:val="left"/>
      <w:pPr>
        <w:ind w:left="3060" w:hanging="360"/>
      </w:pPr>
      <w:rPr>
        <w:rFonts w:ascii="Courier New" w:hAnsi="Courier New" w:cs="Courier New" w:hint="default"/>
      </w:rPr>
    </w:lvl>
    <w:lvl w:ilvl="2" w:tplc="04090005">
      <w:start w:val="1"/>
      <w:numFmt w:val="bullet"/>
      <w:lvlText w:val=""/>
      <w:lvlJc w:val="left"/>
      <w:pPr>
        <w:ind w:left="3780" w:hanging="360"/>
      </w:pPr>
      <w:rPr>
        <w:rFonts w:ascii="Wingdings" w:hAnsi="Wingdings" w:hint="default"/>
      </w:rPr>
    </w:lvl>
    <w:lvl w:ilvl="3" w:tplc="04090001">
      <w:start w:val="1"/>
      <w:numFmt w:val="bullet"/>
      <w:lvlText w:val=""/>
      <w:lvlJc w:val="left"/>
      <w:pPr>
        <w:ind w:left="4500" w:hanging="360"/>
      </w:pPr>
      <w:rPr>
        <w:rFonts w:ascii="Symbol" w:hAnsi="Symbol" w:hint="default"/>
      </w:rPr>
    </w:lvl>
    <w:lvl w:ilvl="4" w:tplc="04090003">
      <w:start w:val="1"/>
      <w:numFmt w:val="bullet"/>
      <w:lvlText w:val="o"/>
      <w:lvlJc w:val="left"/>
      <w:pPr>
        <w:ind w:left="5220" w:hanging="360"/>
      </w:pPr>
      <w:rPr>
        <w:rFonts w:ascii="Courier New" w:hAnsi="Courier New" w:cs="Courier New" w:hint="default"/>
      </w:rPr>
    </w:lvl>
    <w:lvl w:ilvl="5" w:tplc="04090005">
      <w:start w:val="1"/>
      <w:numFmt w:val="bullet"/>
      <w:lvlText w:val=""/>
      <w:lvlJc w:val="left"/>
      <w:pPr>
        <w:ind w:left="5940" w:hanging="360"/>
      </w:pPr>
      <w:rPr>
        <w:rFonts w:ascii="Wingdings" w:hAnsi="Wingdings" w:hint="default"/>
      </w:rPr>
    </w:lvl>
    <w:lvl w:ilvl="6" w:tplc="04090001">
      <w:start w:val="1"/>
      <w:numFmt w:val="bullet"/>
      <w:lvlText w:val=""/>
      <w:lvlJc w:val="left"/>
      <w:pPr>
        <w:ind w:left="6660" w:hanging="360"/>
      </w:pPr>
      <w:rPr>
        <w:rFonts w:ascii="Symbol" w:hAnsi="Symbol" w:hint="default"/>
      </w:rPr>
    </w:lvl>
    <w:lvl w:ilvl="7" w:tplc="04090003">
      <w:start w:val="1"/>
      <w:numFmt w:val="bullet"/>
      <w:lvlText w:val="o"/>
      <w:lvlJc w:val="left"/>
      <w:pPr>
        <w:ind w:left="7380" w:hanging="360"/>
      </w:pPr>
      <w:rPr>
        <w:rFonts w:ascii="Courier New" w:hAnsi="Courier New" w:cs="Courier New" w:hint="default"/>
      </w:rPr>
    </w:lvl>
    <w:lvl w:ilvl="8" w:tplc="04090005">
      <w:start w:val="1"/>
      <w:numFmt w:val="bullet"/>
      <w:lvlText w:val=""/>
      <w:lvlJc w:val="left"/>
      <w:pPr>
        <w:ind w:left="8100" w:hanging="360"/>
      </w:pPr>
      <w:rPr>
        <w:rFonts w:ascii="Wingdings" w:hAnsi="Wingdings" w:hint="default"/>
      </w:rPr>
    </w:lvl>
  </w:abstractNum>
  <w:abstractNum w:abstractNumId="4" w15:restartNumberingAfterBreak="0">
    <w:nsid w:val="79D10AF4"/>
    <w:multiLevelType w:val="hybridMultilevel"/>
    <w:tmpl w:val="A8B01A8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num w:numId="1" w16cid:durableId="19625641">
    <w:abstractNumId w:val="4"/>
  </w:num>
  <w:num w:numId="2" w16cid:durableId="1006901391">
    <w:abstractNumId w:val="1"/>
  </w:num>
  <w:num w:numId="3" w16cid:durableId="476186744">
    <w:abstractNumId w:val="0"/>
  </w:num>
  <w:num w:numId="4" w16cid:durableId="1247762528">
    <w:abstractNumId w:val="3"/>
  </w:num>
  <w:num w:numId="5" w16cid:durableId="4056126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ocumentProtection w:edit="readOnly" w:enforcement="1" w:cryptProviderType="rsaAES" w:cryptAlgorithmClass="hash" w:cryptAlgorithmType="typeAny" w:cryptAlgorithmSid="14" w:cryptSpinCount="100000" w:hash="dnfQWKDvTaC69NPUeHI7MxkZ8z2JihhnJXNY5EjN5iUoSBjKZv4BDCoudqRpQob++O6YA+1wx5h7pYTagtADwg==" w:salt="Zm1ca5Zw6/cWjXbmxZpZ/Q=="/>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459"/>
    <w:rsid w:val="0012556C"/>
    <w:rsid w:val="002671FE"/>
    <w:rsid w:val="00310BDD"/>
    <w:rsid w:val="00390B27"/>
    <w:rsid w:val="00463430"/>
    <w:rsid w:val="00537CCD"/>
    <w:rsid w:val="005F6459"/>
    <w:rsid w:val="00605AC5"/>
    <w:rsid w:val="0071267F"/>
    <w:rsid w:val="008A11E3"/>
    <w:rsid w:val="00A85850"/>
    <w:rsid w:val="00AA2A86"/>
    <w:rsid w:val="00BB4B5A"/>
    <w:rsid w:val="00CD7404"/>
    <w:rsid w:val="00DE296E"/>
    <w:rsid w:val="00F31FEB"/>
    <w:rsid w:val="00F86B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EB779"/>
  <w15:chartTrackingRefBased/>
  <w15:docId w15:val="{8C6FC6EC-DED8-493E-8B05-3103E7642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459"/>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6459"/>
    <w:pPr>
      <w:ind w:left="720"/>
      <w:contextualSpacing/>
    </w:pPr>
  </w:style>
  <w:style w:type="paragraph" w:styleId="Header">
    <w:name w:val="header"/>
    <w:basedOn w:val="Normal"/>
    <w:link w:val="HeaderChar"/>
    <w:uiPriority w:val="99"/>
    <w:unhideWhenUsed/>
    <w:rsid w:val="001255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556C"/>
  </w:style>
  <w:style w:type="paragraph" w:styleId="Footer">
    <w:name w:val="footer"/>
    <w:basedOn w:val="Normal"/>
    <w:link w:val="FooterChar"/>
    <w:uiPriority w:val="99"/>
    <w:unhideWhenUsed/>
    <w:rsid w:val="001255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56C"/>
  </w:style>
  <w:style w:type="paragraph" w:styleId="BalloonText">
    <w:name w:val="Balloon Text"/>
    <w:basedOn w:val="Normal"/>
    <w:link w:val="BalloonTextChar"/>
    <w:uiPriority w:val="99"/>
    <w:semiHidden/>
    <w:unhideWhenUsed/>
    <w:rsid w:val="008A11E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11E3"/>
    <w:rPr>
      <w:rFonts w:ascii="Segoe UI" w:hAnsi="Segoe UI" w:cs="Segoe UI"/>
      <w:sz w:val="18"/>
      <w:szCs w:val="18"/>
    </w:rPr>
  </w:style>
  <w:style w:type="paragraph" w:styleId="Revision">
    <w:name w:val="Revision"/>
    <w:hidden/>
    <w:uiPriority w:val="99"/>
    <w:semiHidden/>
    <w:rsid w:val="00DE296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9209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1428A0375CC445A1E14F3AA23136C2" ma:contentTypeVersion="10" ma:contentTypeDescription="Create a new document." ma:contentTypeScope="" ma:versionID="21e8ce00ae2dd06fffda82c149ac8cff">
  <xsd:schema xmlns:xsd="http://www.w3.org/2001/XMLSchema" xmlns:xs="http://www.w3.org/2001/XMLSchema" xmlns:p="http://schemas.microsoft.com/office/2006/metadata/properties" xmlns:ns2="bf51bb31-6b2c-430d-b7b0-bbe9a48b6715" xmlns:ns3="287a24b9-6c99-42c9-bb4e-2de99571da72" targetNamespace="http://schemas.microsoft.com/office/2006/metadata/properties" ma:root="true" ma:fieldsID="065f1717c2a8192ec473b8651f01e2f4" ns2:_="" ns3:_="">
    <xsd:import namespace="bf51bb31-6b2c-430d-b7b0-bbe9a48b6715"/>
    <xsd:import namespace="287a24b9-6c99-42c9-bb4e-2de99571da72"/>
    <xsd:element name="properties">
      <xsd:complexType>
        <xsd:sequence>
          <xsd:element name="documentManagement">
            <xsd:complexType>
              <xsd:all>
                <xsd:element ref="ns2:MediaServiceMetadata" minOccurs="0"/>
                <xsd:element ref="ns2:MediaServiceFastMetadata"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51bb31-6b2c-430d-b7b0-bbe9a48b67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0" nillable="true" ma:displayName="MediaServiceEventHashCode" ma:hidden="true" ma:internalName="MediaServiceEventHashCode"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7a24b9-6c99-42c9-bb4e-2de99571da7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7E4720-6C82-4870-84EF-82EF67E8A0C2}"/>
</file>

<file path=customXml/itemProps2.xml><?xml version="1.0" encoding="utf-8"?>
<ds:datastoreItem xmlns:ds="http://schemas.openxmlformats.org/officeDocument/2006/customXml" ds:itemID="{AAE47C0F-8765-4FB6-BE30-1686461CD8A0}"/>
</file>

<file path=customXml/itemProps3.xml><?xml version="1.0" encoding="utf-8"?>
<ds:datastoreItem xmlns:ds="http://schemas.openxmlformats.org/officeDocument/2006/customXml" ds:itemID="{E44CF24D-28F1-4D43-9B02-FA352B8BEEE6}"/>
</file>

<file path=docProps/app.xml><?xml version="1.0" encoding="utf-8"?>
<Properties xmlns="http://schemas.openxmlformats.org/officeDocument/2006/extended-properties" xmlns:vt="http://schemas.openxmlformats.org/officeDocument/2006/docPropsVTypes">
  <Template>Normal.dotm</Template>
  <TotalTime>36</TotalTime>
  <Pages>4</Pages>
  <Words>1110</Words>
  <Characters>6327</Characters>
  <Application>Microsoft Office Word</Application>
  <DocSecurity>8</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WHA</Company>
  <LinksUpToDate>false</LinksUpToDate>
  <CharactersWithSpaces>7423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Crawford</dc:creator>
  <cp:keywords/>
  <dc:description/>
  <cp:lastModifiedBy>Michelle Barker</cp:lastModifiedBy>
  <cp:revision>13</cp:revision>
  <dcterms:created xsi:type="dcterms:W3CDTF">2019-11-28T00:52:00Z</dcterms:created>
  <dcterms:modified xsi:type="dcterms:W3CDTF">2025-08-22T18:19:00Z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0x010100DA1428A0375CC445A1E14F3AA23136C2</vt:lpwstr>
  </property>
</Properties>
</file>