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56A5B" w:rsidR="00356A5B" w:rsidP="00356A5B" w:rsidRDefault="00356A5B" w14:paraId="3D3534D0" w14:textId="65912D60">
      <w:pPr>
        <w:rPr>
          <w:b w:val="1"/>
          <w:bCs w:val="1"/>
        </w:rPr>
      </w:pPr>
      <w:r w:rsidRPr="44C4B4BA" w:rsidR="31FD5B13">
        <w:rPr>
          <w:b w:val="1"/>
          <w:bCs w:val="1"/>
        </w:rPr>
        <w:t xml:space="preserve">Interpregnancy </w:t>
      </w:r>
      <w:r w:rsidRPr="44C4B4BA" w:rsidR="07F83326">
        <w:rPr>
          <w:b w:val="1"/>
          <w:bCs w:val="1"/>
        </w:rPr>
        <w:t>I</w:t>
      </w:r>
      <w:r w:rsidRPr="44C4B4BA" w:rsidR="31FD5B13">
        <w:rPr>
          <w:b w:val="1"/>
          <w:bCs w:val="1"/>
        </w:rPr>
        <w:t>nterval after D&amp;E</w:t>
      </w:r>
    </w:p>
    <w:p w:rsidRPr="00356A5B" w:rsidR="00356A5B" w:rsidP="00356A5B" w:rsidRDefault="00356A5B" w14:paraId="3D37EF79" w14:textId="77777777">
      <w:pPr>
        <w:rPr>
          <w:b/>
          <w:bCs/>
        </w:rPr>
      </w:pPr>
      <w:r w:rsidRPr="00356A5B">
        <w:rPr>
          <w:b/>
          <w:bCs/>
        </w:rPr>
        <w:t>Bottom Line Upfront</w:t>
      </w:r>
    </w:p>
    <w:p w:rsidRPr="00356A5B" w:rsidR="00356A5B" w:rsidP="00356A5B" w:rsidRDefault="00356A5B" w14:paraId="25EABB9E" w14:textId="23CE3ECB">
      <w:r w:rsidRPr="00356A5B">
        <w:t xml:space="preserve">The D&amp;E provider team at WHA recommends shared decision making in timing of a </w:t>
      </w:r>
      <w:r>
        <w:t xml:space="preserve">future </w:t>
      </w:r>
      <w:r w:rsidRPr="00356A5B">
        <w:t>pregnancy after termination of pregnancy with option of starting as soon as 1-3 months after the procedure.</w:t>
      </w:r>
    </w:p>
    <w:p w:rsidRPr="00356A5B" w:rsidR="00356A5B" w:rsidP="00356A5B" w:rsidRDefault="00356A5B" w14:paraId="392C5AE4" w14:textId="77777777">
      <w:pPr>
        <w:rPr>
          <w:b/>
          <w:bCs/>
        </w:rPr>
      </w:pPr>
      <w:r w:rsidRPr="00356A5B">
        <w:rPr>
          <w:b/>
          <w:bCs/>
        </w:rPr>
        <w:t>Background</w:t>
      </w:r>
    </w:p>
    <w:p w:rsidRPr="00356A5B" w:rsidR="00356A5B" w:rsidP="00356A5B" w:rsidRDefault="00356A5B" w14:paraId="75A7A308" w14:textId="77777777">
      <w:r w:rsidRPr="00356A5B">
        <w:t>Counseling patients on the optimal timing of a pregnancy after a second trimester termination of pregnancy, and in particular, dilation and evacuation (D&amp;E) is a critical component of post-procedure care. Current guidance on interpregnancy interval (IPI) after D&amp;E is largely extrapolated from broader studies of pregnancy after loss or termination, and no high-quality evidence establishes a definitive minimum interval specific to second-trimester D&amp;E.</w:t>
      </w:r>
    </w:p>
    <w:p w:rsidRPr="00356A5B" w:rsidR="00356A5B" w:rsidP="00356A5B" w:rsidRDefault="00356A5B" w14:paraId="3B2671AD" w14:textId="77777777">
      <w:r w:rsidRPr="00356A5B">
        <w:t xml:space="preserve">The World Health Organization (WHO) recommends waiting at least 6 months after miscarriage or induced abortion before attempting conception. [1] The ACOG/SMFM Obstetric Care Consensus advises against interpregnancy intervals shorter than 6 months and counsels about risks of intervals shorter than 18 months, </w:t>
      </w:r>
      <w:r w:rsidRPr="00356A5B">
        <w:rPr>
          <w:b/>
          <w:bCs/>
        </w:rPr>
        <w:t>though this guidance is primarily derived from data following live births.</w:t>
      </w:r>
      <w:r w:rsidRPr="00356A5B">
        <w:t xml:space="preserve"> [2] However, several lines of evidence challenge the applicability of these recommendations to the post- D&amp;E population:</w:t>
      </w:r>
    </w:p>
    <w:p w:rsidRPr="00356A5B" w:rsidR="00356A5B" w:rsidP="00356A5B" w:rsidRDefault="00356A5B" w14:paraId="4CE3D8C8" w14:textId="057B3173">
      <w:pPr>
        <w:pStyle w:val="ListParagraph"/>
        <w:numPr>
          <w:ilvl w:val="0"/>
          <w:numId w:val="1"/>
        </w:numPr>
      </w:pPr>
      <w:r w:rsidRPr="00356A5B">
        <w:t>A large Norwegian cohort study found that conceiving within 3 months after miscarriage or induced abortion was not associated with increased risks of adverse pregnancy outcomes and was in some cases associated with lower risk of SGA births and gestational diabetes. [3]</w:t>
      </w:r>
    </w:p>
    <w:p w:rsidR="00356A5B" w:rsidP="00356A5B" w:rsidRDefault="00356A5B" w14:paraId="0CDB397A" w14:textId="77777777">
      <w:pPr>
        <w:pStyle w:val="ListParagraph"/>
        <w:numPr>
          <w:ilvl w:val="0"/>
          <w:numId w:val="1"/>
        </w:numPr>
      </w:pPr>
      <w:r w:rsidRPr="00356A5B">
        <w:t>A global analysis of over 692,000 pregnancies found that interpregnancy intervals of less than 3, 6, or 12 months following stillbirth or abortion did not pose a higher risk for perinatal death. [4]</w:t>
      </w:r>
    </w:p>
    <w:p w:rsidRPr="00356A5B" w:rsidR="00356A5B" w:rsidP="00356A5B" w:rsidRDefault="00356A5B" w14:paraId="1302D2A1" w14:textId="5138A99A">
      <w:pPr>
        <w:pStyle w:val="ListParagraph"/>
        <w:numPr>
          <w:ilvl w:val="0"/>
          <w:numId w:val="1"/>
        </w:numPr>
      </w:pPr>
      <w:r w:rsidRPr="00356A5B">
        <w:t>A Finnish register-based study found only a modestly increased risk of preterm birth with IPI less than 6 months (</w:t>
      </w:r>
      <w:proofErr w:type="spellStart"/>
      <w:r w:rsidRPr="00356A5B">
        <w:t>aOR</w:t>
      </w:r>
      <w:proofErr w:type="spellEnd"/>
      <w:r w:rsidRPr="00356A5B">
        <w:t xml:space="preserve"> 1.35, 95% CI 1.02–1.77), with no increased risk at intervals of 6 months or longer. [5]</w:t>
      </w:r>
    </w:p>
    <w:p w:rsidRPr="00356A5B" w:rsidR="00356A5B" w:rsidP="00356A5B" w:rsidRDefault="00356A5B" w14:paraId="6E572BD3" w14:textId="7FAA438A">
      <w:pPr>
        <w:pStyle w:val="ListParagraph"/>
        <w:numPr>
          <w:ilvl w:val="0"/>
          <w:numId w:val="1"/>
        </w:numPr>
      </w:pPr>
      <w:r w:rsidRPr="00356A5B">
        <w:t>A study of 600 patients who underwent midtrimester D&amp;E found that D&amp;E was not a significant independent risk factor for midtrimester pregnancy loss or spontaneous preterm birth in subsequent pregnancies. [6]</w:t>
      </w:r>
    </w:p>
    <w:p w:rsidRPr="00356A5B" w:rsidR="00356A5B" w:rsidP="00356A5B" w:rsidRDefault="00356A5B" w14:paraId="2139267B" w14:textId="77777777">
      <w:r w:rsidRPr="00356A5B">
        <w:t>At the same time, patients who have undergone second-trimester D&amp;E often have a strong desire to conceive again promptly. They often have experienced fetal abnormalities, are</w:t>
      </w:r>
    </w:p>
    <w:p w:rsidRPr="00356A5B" w:rsidR="00356A5B" w:rsidP="00356A5B" w:rsidRDefault="00356A5B" w14:paraId="2885F4A8" w14:textId="77777777">
      <w:r w:rsidRPr="00356A5B">
        <w:lastRenderedPageBreak/>
        <w:t xml:space="preserve">waiting for genetic </w:t>
      </w:r>
      <w:proofErr w:type="gramStart"/>
      <w:r w:rsidRPr="00356A5B">
        <w:t>testing, and</w:t>
      </w:r>
      <w:proofErr w:type="gramEnd"/>
      <w:r w:rsidRPr="00356A5B">
        <w:t xml:space="preserve"> are of advanced maternal age. Prolonged waiting intervals may contribute to psychological distress, advancing maternal age, and declining fertility — risks that are real and clinically meaningful but often underrepresented in population studies</w:t>
      </w:r>
    </w:p>
    <w:p w:rsidRPr="00356A5B" w:rsidR="00356A5B" w:rsidP="00356A5B" w:rsidRDefault="00356A5B" w14:paraId="36079ECF" w14:textId="0E2F996B">
      <w:r w:rsidRPr="00356A5B">
        <w:t>An informal survey of Portland metro second trimester abortion providers revealed they</w:t>
      </w:r>
      <w:r>
        <w:t xml:space="preserve"> </w:t>
      </w:r>
      <w:r w:rsidRPr="00356A5B">
        <w:t>unanimously counsel patients to wait 1-3 months or after first menses after termination of pregnancy prior to attempting another pregnancy.</w:t>
      </w:r>
    </w:p>
    <w:p w:rsidRPr="00356A5B" w:rsidR="00356A5B" w:rsidP="00356A5B" w:rsidRDefault="00356A5B" w14:paraId="5D643381" w14:textId="77777777">
      <w:pPr>
        <w:rPr>
          <w:b/>
          <w:bCs/>
        </w:rPr>
      </w:pPr>
      <w:r w:rsidRPr="00356A5B">
        <w:rPr>
          <w:b/>
          <w:bCs/>
        </w:rPr>
        <w:t>Recommendation</w:t>
      </w:r>
    </w:p>
    <w:p w:rsidRPr="00356A5B" w:rsidR="00356A5B" w:rsidP="00356A5B" w:rsidRDefault="00356A5B" w14:paraId="6818C091" w14:textId="047BA412">
      <w:r w:rsidRPr="00356A5B">
        <w:t xml:space="preserve">The D&amp;E provider team at WHA recommends shared decision making in timing of a pregnancy after termination of pregnancy with option of starting as soon as 1-3 months </w:t>
      </w:r>
      <w:r w:rsidR="001C079C">
        <w:t xml:space="preserve">or after first menses </w:t>
      </w:r>
      <w:r w:rsidRPr="00356A5B">
        <w:t>after the procedure.</w:t>
      </w:r>
    </w:p>
    <w:p w:rsidRPr="00356A5B" w:rsidR="00356A5B" w:rsidP="00356A5B" w:rsidRDefault="00356A5B" w14:paraId="18A05950" w14:textId="77777777">
      <w:pPr>
        <w:rPr>
          <w:b/>
          <w:bCs/>
        </w:rPr>
      </w:pPr>
      <w:r w:rsidRPr="00356A5B">
        <w:rPr>
          <w:b/>
          <w:bCs/>
        </w:rPr>
        <w:t>Shared Decision-Making Framework</w:t>
      </w:r>
    </w:p>
    <w:p w:rsidRPr="00356A5B" w:rsidR="00356A5B" w:rsidP="00356A5B" w:rsidRDefault="00356A5B" w14:paraId="5A8F1559" w14:textId="77777777">
      <w:r w:rsidRPr="00356A5B">
        <w:t>The core of this initiative is a shared decision-making model that balances clinical evidence with patient values. Key principles include:</w:t>
      </w:r>
    </w:p>
    <w:p w:rsidRPr="00356A5B" w:rsidR="00356A5B" w:rsidP="00356A5B" w:rsidRDefault="00356A5B" w14:paraId="3E32D584" w14:textId="35434AF7">
      <w:pPr>
        <w:pStyle w:val="ListParagraph"/>
        <w:numPr>
          <w:ilvl w:val="0"/>
          <w:numId w:val="2"/>
        </w:numPr>
      </w:pPr>
      <w:r w:rsidRPr="00356A5B">
        <w:rPr>
          <w:b/>
          <w:bCs/>
        </w:rPr>
        <w:t>Acknowledge uncertainty:</w:t>
      </w:r>
      <w:r w:rsidRPr="00356A5B">
        <w:t xml:space="preserve"> The evidence does not support a strict minimum interpregnancy interval after D&amp;E Providers should communicate this honestly.</w:t>
      </w:r>
    </w:p>
    <w:p w:rsidRPr="00356A5B" w:rsidR="00356A5B" w:rsidP="00356A5B" w:rsidRDefault="00356A5B" w14:paraId="3F360F28" w14:textId="16770D61">
      <w:pPr>
        <w:pStyle w:val="ListParagraph"/>
        <w:numPr>
          <w:ilvl w:val="0"/>
          <w:numId w:val="2"/>
        </w:numPr>
      </w:pPr>
      <w:r w:rsidRPr="00356A5B">
        <w:rPr>
          <w:b/>
          <w:bCs/>
        </w:rPr>
        <w:t>Present both sides:</w:t>
      </w:r>
      <w:r w:rsidRPr="00356A5B">
        <w:t xml:space="preserve"> While modest increases in preterm birth risk have been observed with very short intervals (6 months), these must be weighed against the well-documented risks of delayed conception, including psychological harm, reduced fertility with advancing age, and prolonged grief.</w:t>
      </w:r>
    </w:p>
    <w:p w:rsidRPr="00356A5B" w:rsidR="00356A5B" w:rsidP="00356A5B" w:rsidRDefault="00356A5B" w14:paraId="17F04215" w14:textId="3DC19437">
      <w:pPr>
        <w:pStyle w:val="ListParagraph"/>
        <w:numPr>
          <w:ilvl w:val="0"/>
          <w:numId w:val="2"/>
        </w:numPr>
      </w:pPr>
      <w:r w:rsidRPr="00356A5B">
        <w:rPr>
          <w:b/>
          <w:bCs/>
        </w:rPr>
        <w:t>Respect patient autonomy:</w:t>
      </w:r>
      <w:r w:rsidRPr="00356A5B">
        <w:t xml:space="preserve"> Many patients will reasonably conclude that the benefits of earlier conception outweigh the small absolute increase in risk. The provider team supports consideration of pregnancy as early as 1–3 months post- D&amp;E</w:t>
      </w:r>
    </w:p>
    <w:p w:rsidRPr="00020A41" w:rsidR="00356A5B" w:rsidP="00356A5B" w:rsidRDefault="00356A5B" w14:paraId="7723DD38" w14:textId="6863C33B">
      <w:pPr>
        <w:pStyle w:val="ListParagraph"/>
        <w:numPr>
          <w:ilvl w:val="0"/>
          <w:numId w:val="2"/>
        </w:numPr>
        <w:rPr>
          <w:rFonts w:ascii="Aptos" w:hAnsi="Aptos"/>
        </w:rPr>
      </w:pPr>
      <w:r w:rsidRPr="00356A5B">
        <w:rPr>
          <w:b/>
          <w:bCs/>
        </w:rPr>
        <w:t>Individualize the conversation:</w:t>
      </w:r>
      <w:r w:rsidRPr="00356A5B">
        <w:t xml:space="preserve"> Patients with additional risk factors (e.g., later gestational age at D&amp;E, history of preterm birth) may benefit from longer intervals or enhanced surveillance in subsequent pregnancies. Furthermore, completion of </w:t>
      </w:r>
      <w:r w:rsidRPr="00020A41">
        <w:rPr>
          <w:rFonts w:ascii="Aptos" w:hAnsi="Aptos"/>
        </w:rPr>
        <w:t>pending genetic testing is recommended for most accurate risk assessment.</w:t>
      </w:r>
    </w:p>
    <w:p w:rsidRPr="00020A41" w:rsidR="00F430B0" w:rsidRDefault="00A23C77" w14:paraId="414D411E" w14:textId="202A1CBE">
      <w:pPr>
        <w:rPr>
          <w:rFonts w:ascii="Aptos" w:hAnsi="Aptos"/>
        </w:rPr>
      </w:pPr>
      <w:r w:rsidRPr="00020A41">
        <w:rPr>
          <w:rFonts w:ascii="Aptos" w:hAnsi="Aptos"/>
        </w:rPr>
        <w:t>References:</w:t>
      </w:r>
    </w:p>
    <w:p w:rsidRPr="00020A41" w:rsidR="00A23C77" w:rsidP="00A23C77" w:rsidRDefault="00A23C77" w14:paraId="53B1BD24" w14:textId="36F4EA96">
      <w:pPr>
        <w:pStyle w:val="ListParagraph"/>
        <w:numPr>
          <w:ilvl w:val="0"/>
          <w:numId w:val="3"/>
        </w:numPr>
        <w:rPr>
          <w:rFonts w:ascii="Aptos" w:hAnsi="Aptos"/>
        </w:rPr>
      </w:pPr>
      <w:hyperlink w:history="1" r:id="rId5">
        <w:r w:rsidRPr="00020A41">
          <w:rPr>
            <w:rStyle w:val="Hyperlink"/>
            <w:rFonts w:ascii="Aptos" w:hAnsi="Aptos"/>
          </w:rPr>
          <w:t>Interpregnancy interval and adverse pregnancy outcomes among pregnancies following miscarriages or induced abortions in Norway (2008–2016): A cohort study | PLOS Medicine</w:t>
        </w:r>
      </w:hyperlink>
    </w:p>
    <w:p w:rsidRPr="00020A41" w:rsidR="00020A41" w:rsidP="00020A41" w:rsidRDefault="00020A41" w14:paraId="66662BF2" w14:textId="77777777">
      <w:pPr>
        <w:pStyle w:val="ListParagraph"/>
        <w:numPr>
          <w:ilvl w:val="0"/>
          <w:numId w:val="3"/>
        </w:numPr>
        <w:rPr>
          <w:rFonts w:ascii="Aptos" w:hAnsi="Aptos"/>
        </w:rPr>
      </w:pPr>
      <w:hyperlink w:history="1" r:id="rId6">
        <w:r w:rsidRPr="00020A41">
          <w:rPr>
            <w:rStyle w:val="Hyperlink"/>
            <w:rFonts w:ascii="Aptos" w:hAnsi="Aptos"/>
          </w:rPr>
          <w:t>Obstetrics &amp; Gynecology</w:t>
        </w:r>
      </w:hyperlink>
      <w:r w:rsidRPr="00020A41">
        <w:rPr>
          <w:rFonts w:ascii="Aptos" w:hAnsi="Aptos"/>
        </w:rPr>
        <w:t xml:space="preserve"> </w:t>
      </w:r>
      <w:r w:rsidRPr="00020A41">
        <w:rPr>
          <w:rFonts w:ascii="Aptos" w:hAnsi="Aptos"/>
        </w:rPr>
        <w:t>Obstetric Care Consensus No. 8: Interpregnancy Care</w:t>
      </w:r>
    </w:p>
    <w:p w:rsidRPr="00020A41" w:rsidR="00020A41" w:rsidP="00020A41" w:rsidRDefault="00020A41" w14:paraId="2B1C9324" w14:textId="77777777">
      <w:pPr>
        <w:pStyle w:val="ListParagraph"/>
        <w:numPr>
          <w:ilvl w:val="0"/>
          <w:numId w:val="3"/>
        </w:numPr>
        <w:rPr>
          <w:rFonts w:ascii="Aptos" w:hAnsi="Aptos"/>
        </w:rPr>
      </w:pPr>
      <w:hyperlink w:history="1" r:id="rId7">
        <w:r w:rsidRPr="00020A41">
          <w:rPr>
            <w:rStyle w:val="Hyperlink"/>
            <w:rFonts w:ascii="Aptos" w:hAnsi="Aptos"/>
          </w:rPr>
          <w:t>Interpregnancy interval and adverse pregnancy outcomes among pregnancies following miscarriages or induced abortions in Norway (2008–2016): A cohort study | PLOS Medicine</w:t>
        </w:r>
      </w:hyperlink>
    </w:p>
    <w:p w:rsidRPr="00020A41" w:rsidR="00020A41" w:rsidP="00020A41" w:rsidRDefault="00020A41" w14:paraId="2AADD8E5" w14:textId="5626A766">
      <w:pPr>
        <w:pStyle w:val="ListParagraph"/>
        <w:numPr>
          <w:ilvl w:val="0"/>
          <w:numId w:val="3"/>
        </w:numPr>
        <w:rPr>
          <w:rFonts w:ascii="Aptos" w:hAnsi="Aptos" w:eastAsia="Times New Roman" w:cs="Segoe UI"/>
          <w:kern w:val="0"/>
          <w:shd w:val="clear" w:color="auto" w:fill="FFFFFF"/>
          <w14:ligatures w14:val="none"/>
        </w:rPr>
      </w:pPr>
      <w:r w:rsidRPr="00020A41">
        <w:rPr>
          <w:rFonts w:ascii="Aptos" w:hAnsi="Aptos" w:eastAsia="Times New Roman" w:cs="Segoe UI"/>
          <w:kern w:val="0"/>
          <w14:ligatures w14:val="none"/>
        </w:rPr>
        <w:t>Lancet Glob Health. 2023 Oct;11(10</w:t>
      </w:r>
      <w:proofErr w:type="gramStart"/>
      <w:r w:rsidRPr="00020A41">
        <w:rPr>
          <w:rFonts w:ascii="Aptos" w:hAnsi="Aptos" w:eastAsia="Times New Roman" w:cs="Segoe UI"/>
          <w:kern w:val="0"/>
          <w14:ligatures w14:val="none"/>
        </w:rPr>
        <w:t>):e</w:t>
      </w:r>
      <w:proofErr w:type="gramEnd"/>
      <w:r w:rsidRPr="00020A41">
        <w:rPr>
          <w:rFonts w:ascii="Aptos" w:hAnsi="Aptos" w:eastAsia="Times New Roman" w:cs="Segoe UI"/>
          <w:kern w:val="0"/>
          <w14:ligatures w14:val="none"/>
        </w:rPr>
        <w:t>1544-e1552.</w:t>
      </w:r>
      <w:r w:rsidRPr="00020A41">
        <w:rPr>
          <w:rFonts w:ascii="Aptos" w:hAnsi="Aptos" w:eastAsia="Times New Roman" w:cs="Segoe UI"/>
          <w:kern w:val="0"/>
          <w:shd w:val="clear" w:color="auto" w:fill="FFFFFF"/>
          <w14:ligatures w14:val="none"/>
        </w:rPr>
        <w:t> </w:t>
      </w:r>
      <w:proofErr w:type="spellStart"/>
      <w:r w:rsidRPr="00020A41">
        <w:rPr>
          <w:rFonts w:ascii="Aptos" w:hAnsi="Aptos" w:eastAsia="Times New Roman" w:cs="Segoe UI"/>
          <w:kern w:val="0"/>
          <w:shd w:val="clear" w:color="auto" w:fill="FFFFFF"/>
          <w14:ligatures w14:val="none"/>
        </w:rPr>
        <w:t>doi</w:t>
      </w:r>
      <w:proofErr w:type="spellEnd"/>
      <w:r w:rsidRPr="00020A41">
        <w:rPr>
          <w:rFonts w:ascii="Aptos" w:hAnsi="Aptos" w:eastAsia="Times New Roman" w:cs="Segoe UI"/>
          <w:kern w:val="0"/>
          <w:shd w:val="clear" w:color="auto" w:fill="FFFFFF"/>
          <w14:ligatures w14:val="none"/>
        </w:rPr>
        <w:t>: 10.1016/S2214-109</w:t>
      </w:r>
      <w:proofErr w:type="gramStart"/>
      <w:r w:rsidRPr="00020A41">
        <w:rPr>
          <w:rFonts w:ascii="Aptos" w:hAnsi="Aptos" w:eastAsia="Times New Roman" w:cs="Segoe UI"/>
          <w:kern w:val="0"/>
          <w:shd w:val="clear" w:color="auto" w:fill="FFFFFF"/>
          <w14:ligatures w14:val="none"/>
        </w:rPr>
        <w:t>X(</w:t>
      </w:r>
      <w:proofErr w:type="gramEnd"/>
      <w:r w:rsidRPr="00020A41">
        <w:rPr>
          <w:rFonts w:ascii="Aptos" w:hAnsi="Aptos" w:eastAsia="Times New Roman" w:cs="Segoe UI"/>
          <w:kern w:val="0"/>
          <w:shd w:val="clear" w:color="auto" w:fill="FFFFFF"/>
          <w14:ligatures w14:val="none"/>
        </w:rPr>
        <w:t>23)00359-5.</w:t>
      </w:r>
      <w:r w:rsidRPr="00020A41">
        <w:rPr>
          <w:rFonts w:ascii="Aptos" w:hAnsi="Aptos" w:eastAsia="Times New Roman" w:cs="Segoe UI"/>
          <w:kern w:val="0"/>
          <w:shd w:val="clear" w:color="auto" w:fill="FFFFFF"/>
          <w14:ligatures w14:val="none"/>
        </w:rPr>
        <w:t xml:space="preserve"> </w:t>
      </w:r>
      <w:r w:rsidRPr="00020A41">
        <w:rPr>
          <w:rFonts w:ascii="Aptos" w:hAnsi="Aptos" w:eastAsia="Times New Roman" w:cs="Segoe UI"/>
          <w:kern w:val="0"/>
          <w:shd w:val="clear" w:color="auto" w:fill="FFFFFF"/>
          <w14:ligatures w14:val="none"/>
        </w:rPr>
        <w:t>The risk of perinatal mortality following short inter-pregnancy intervals-insights from 692 402 pregnancies in 113 Demographic and Health Surveys from 46 countries: a population-based analysis</w:t>
      </w:r>
    </w:p>
    <w:p w:rsidRPr="00020A41" w:rsidR="00020A41" w:rsidP="00020A41" w:rsidRDefault="00020A41" w14:paraId="021D8B55" w14:textId="60644D56">
      <w:pPr>
        <w:pStyle w:val="ListParagraph"/>
        <w:numPr>
          <w:ilvl w:val="0"/>
          <w:numId w:val="3"/>
        </w:numPr>
        <w:spacing w:after="0" w:line="240" w:lineRule="auto"/>
        <w:rPr>
          <w:rFonts w:ascii="Aptos" w:hAnsi="Aptos" w:eastAsia="Times New Roman" w:cs="Segoe UI"/>
          <w:kern w:val="0"/>
          <w:shd w:val="clear" w:color="auto" w:fill="FFFFFF"/>
          <w14:ligatures w14:val="none"/>
        </w:rPr>
      </w:pPr>
      <w:proofErr w:type="spellStart"/>
      <w:r w:rsidRPr="00020A41">
        <w:rPr>
          <w:rFonts w:ascii="Aptos" w:hAnsi="Aptos" w:eastAsia="Times New Roman" w:cs="Segoe UI"/>
          <w:kern w:val="0"/>
          <w14:ligatures w14:val="none"/>
        </w:rPr>
        <w:t>Obstet</w:t>
      </w:r>
      <w:proofErr w:type="spellEnd"/>
      <w:r w:rsidRPr="00020A41">
        <w:rPr>
          <w:rFonts w:ascii="Aptos" w:hAnsi="Aptos" w:eastAsia="Times New Roman" w:cs="Segoe UI"/>
          <w:kern w:val="0"/>
          <w14:ligatures w14:val="none"/>
        </w:rPr>
        <w:t xml:space="preserve"> Gyneco</w:t>
      </w:r>
      <w:r w:rsidRPr="00020A41">
        <w:rPr>
          <w:rFonts w:ascii="Aptos" w:hAnsi="Aptos" w:eastAsia="Times New Roman" w:cs="Segoe UI"/>
          <w:kern w:val="0"/>
          <w14:ligatures w14:val="none"/>
        </w:rPr>
        <w:t>l</w:t>
      </w:r>
      <w:r w:rsidRPr="00020A41">
        <w:rPr>
          <w:rFonts w:ascii="Aptos" w:hAnsi="Aptos" w:eastAsia="Times New Roman" w:cs="Segoe UI"/>
          <w:kern w:val="0"/>
          <w14:ligatures w14:val="none"/>
        </w:rPr>
        <w:t>. 2017 Feb;129(2):347-354.</w:t>
      </w:r>
      <w:r w:rsidRPr="00020A41">
        <w:rPr>
          <w:rFonts w:ascii="Aptos" w:hAnsi="Aptos" w:eastAsia="Times New Roman" w:cs="Segoe UI"/>
          <w:kern w:val="0"/>
          <w:shd w:val="clear" w:color="auto" w:fill="FFFFFF"/>
          <w14:ligatures w14:val="none"/>
        </w:rPr>
        <w:t> </w:t>
      </w:r>
      <w:proofErr w:type="spellStart"/>
      <w:r w:rsidRPr="00020A41">
        <w:rPr>
          <w:rFonts w:ascii="Aptos" w:hAnsi="Aptos" w:eastAsia="Times New Roman" w:cs="Segoe UI"/>
          <w:kern w:val="0"/>
          <w:shd w:val="clear" w:color="auto" w:fill="FFFFFF"/>
          <w14:ligatures w14:val="none"/>
        </w:rPr>
        <w:t>doi</w:t>
      </w:r>
      <w:proofErr w:type="spellEnd"/>
      <w:r w:rsidRPr="00020A41">
        <w:rPr>
          <w:rFonts w:ascii="Aptos" w:hAnsi="Aptos" w:eastAsia="Times New Roman" w:cs="Segoe UI"/>
          <w:kern w:val="0"/>
          <w:shd w:val="clear" w:color="auto" w:fill="FFFFFF"/>
          <w14:ligatures w14:val="none"/>
        </w:rPr>
        <w:t>: 10.1097/AOG.0000000000001836.</w:t>
      </w:r>
      <w:r w:rsidRPr="00020A41">
        <w:rPr>
          <w:rFonts w:ascii="Aptos" w:hAnsi="Aptos" w:eastAsia="Times New Roman" w:cs="Segoe UI"/>
          <w:kern w:val="0"/>
          <w:shd w:val="clear" w:color="auto" w:fill="FFFFFF"/>
          <w14:ligatures w14:val="none"/>
        </w:rPr>
        <w:t xml:space="preserve"> </w:t>
      </w:r>
      <w:r w:rsidRPr="00020A41">
        <w:rPr>
          <w:rFonts w:ascii="Aptos" w:hAnsi="Aptos" w:eastAsia="Times New Roman" w:cs="Segoe UI"/>
          <w:kern w:val="0"/>
          <w:shd w:val="clear" w:color="auto" w:fill="FFFFFF"/>
          <w14:ligatures w14:val="none"/>
        </w:rPr>
        <w:t>Interpregnancy Interval After Termination of Pregnancy and the Risks of Adverse Outcomes in Subsequent Birth</w:t>
      </w:r>
    </w:p>
    <w:p w:rsidRPr="00020A41" w:rsidR="00020A41" w:rsidP="00020A41" w:rsidRDefault="00020A41" w14:paraId="206EB7C5" w14:textId="7A4A900E">
      <w:pPr>
        <w:pStyle w:val="ListParagraph"/>
        <w:numPr>
          <w:ilvl w:val="0"/>
          <w:numId w:val="3"/>
        </w:numPr>
        <w:rPr>
          <w:rFonts w:ascii="Aptos" w:hAnsi="Aptos"/>
        </w:rPr>
      </w:pPr>
      <w:r w:rsidRPr="44C4B4BA" w:rsidR="0F9A1F88">
        <w:rPr>
          <w:rFonts w:ascii="Aptos" w:hAnsi="Aptos"/>
        </w:rPr>
        <w:t xml:space="preserve">Am J </w:t>
      </w:r>
      <w:r w:rsidRPr="44C4B4BA" w:rsidR="0F9A1F88">
        <w:rPr>
          <w:rFonts w:ascii="Aptos" w:hAnsi="Aptos"/>
        </w:rPr>
        <w:t>Obstet</w:t>
      </w:r>
      <w:r w:rsidRPr="44C4B4BA" w:rsidR="0F9A1F88">
        <w:rPr>
          <w:rFonts w:ascii="Aptos" w:hAnsi="Aptos"/>
        </w:rPr>
        <w:t xml:space="preserve"> Gynecol</w:t>
      </w:r>
      <w:r w:rsidRPr="44C4B4BA" w:rsidR="0F9A1F88">
        <w:rPr>
          <w:rFonts w:ascii="Aptos" w:hAnsi="Aptos"/>
        </w:rPr>
        <w:t xml:space="preserve">. </w:t>
      </w:r>
      <w:r w:rsidRPr="44C4B4BA" w:rsidR="0F9A1F88">
        <w:rPr>
          <w:rFonts w:ascii="Aptos" w:hAnsi="Aptos"/>
        </w:rPr>
        <w:t>2002 Oct;187(4):882-5. </w:t>
      </w:r>
      <w:r w:rsidRPr="44C4B4BA" w:rsidR="0F9A1F88">
        <w:rPr>
          <w:rFonts w:ascii="Aptos" w:hAnsi="Aptos"/>
        </w:rPr>
        <w:t>doi</w:t>
      </w:r>
      <w:r w:rsidRPr="44C4B4BA" w:rsidR="0F9A1F88">
        <w:rPr>
          <w:rFonts w:ascii="Aptos" w:hAnsi="Aptos"/>
        </w:rPr>
        <w:t>: 10.1067/mob.2002.127139.</w:t>
      </w:r>
      <w:r w:rsidRPr="44C4B4BA" w:rsidR="0F9A1F88">
        <w:rPr>
          <w:rFonts w:ascii="Aptos" w:hAnsi="Aptos"/>
        </w:rPr>
        <w:t xml:space="preserve"> </w:t>
      </w:r>
      <w:r w:rsidRPr="44C4B4BA" w:rsidR="0F9A1F88">
        <w:rPr>
          <w:rFonts w:ascii="Aptos" w:hAnsi="Aptos"/>
        </w:rPr>
        <w:t>Impact of midtrimester dilation and evacuation on subsequent pregnancy outcome</w:t>
      </w:r>
    </w:p>
    <w:p w:rsidR="44C4B4BA" w:rsidP="44C4B4BA" w:rsidRDefault="44C4B4BA" w14:paraId="7A23670D" w14:textId="6354C376">
      <w:pPr>
        <w:pStyle w:val="Normal"/>
        <w:rPr>
          <w:rFonts w:ascii="Aptos" w:hAnsi="Aptos"/>
        </w:rPr>
      </w:pPr>
    </w:p>
    <w:p w:rsidR="017F4677" w:rsidP="44C4B4BA" w:rsidRDefault="017F4677" w14:paraId="496EA182" w14:textId="20EFA2DC">
      <w:pPr>
        <w:pStyle w:val="Normal"/>
      </w:pPr>
      <w:r w:rsidRPr="44C4B4BA" w:rsidR="017F4677">
        <w:rPr>
          <w:rFonts w:ascii="Aptos" w:hAnsi="Aptos"/>
        </w:rPr>
        <w:t>Created: June 2026</w:t>
      </w:r>
    </w:p>
    <w:p w:rsidR="017F4677" w:rsidP="44C4B4BA" w:rsidRDefault="017F4677" w14:paraId="62E0FE72" w14:textId="0B1B24F0">
      <w:pPr>
        <w:pStyle w:val="Normal"/>
      </w:pPr>
      <w:r w:rsidRPr="44C4B4BA" w:rsidR="017F4677">
        <w:rPr>
          <w:rFonts w:ascii="Aptos" w:hAnsi="Aptos"/>
        </w:rPr>
        <w:t xml:space="preserve">WHA QI Committee endorsed: July 2026 </w:t>
      </w:r>
    </w:p>
    <w:sectPr w:rsidRPr="00020A41" w:rsidR="00020A41">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AE5925"/>
    <w:multiLevelType w:val="hybridMultilevel"/>
    <w:tmpl w:val="73BEDAE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376E2EA8"/>
    <w:multiLevelType w:val="hybridMultilevel"/>
    <w:tmpl w:val="3236A3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E24BFB"/>
    <w:multiLevelType w:val="multilevel"/>
    <w:tmpl w:val="4DEE1D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F8101EC"/>
    <w:multiLevelType w:val="hybridMultilevel"/>
    <w:tmpl w:val="D18A1E6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55241650"/>
    <w:multiLevelType w:val="multilevel"/>
    <w:tmpl w:val="415A86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72131362"/>
    <w:multiLevelType w:val="multilevel"/>
    <w:tmpl w:val="7E062C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752315633">
    <w:abstractNumId w:val="0"/>
  </w:num>
  <w:num w:numId="2" w16cid:durableId="315959136">
    <w:abstractNumId w:val="3"/>
  </w:num>
  <w:num w:numId="3" w16cid:durableId="1617978995">
    <w:abstractNumId w:val="1"/>
  </w:num>
  <w:num w:numId="4" w16cid:durableId="148402383">
    <w:abstractNumId w:val="5"/>
  </w:num>
  <w:num w:numId="5" w16cid:durableId="543101543">
    <w:abstractNumId w:val="4"/>
  </w:num>
  <w:num w:numId="6" w16cid:durableId="2844264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A5B"/>
    <w:rsid w:val="00020A41"/>
    <w:rsid w:val="00166558"/>
    <w:rsid w:val="001C079C"/>
    <w:rsid w:val="00356A5B"/>
    <w:rsid w:val="004811AD"/>
    <w:rsid w:val="00515E01"/>
    <w:rsid w:val="00835F49"/>
    <w:rsid w:val="00A23C77"/>
    <w:rsid w:val="00F430B0"/>
    <w:rsid w:val="017F4677"/>
    <w:rsid w:val="07F83326"/>
    <w:rsid w:val="0F9A1F88"/>
    <w:rsid w:val="31FD5B13"/>
    <w:rsid w:val="44C4B4BA"/>
    <w:rsid w:val="74FEAD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9EB5F"/>
  <w15:chartTrackingRefBased/>
  <w15:docId w15:val="{FB7F8A70-C3B1-4D3C-A0C4-25A3EA14C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56A5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6A5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6A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A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6A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A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A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A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A5B"/>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56A5B"/>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356A5B"/>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56A5B"/>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56A5B"/>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56A5B"/>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56A5B"/>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56A5B"/>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56A5B"/>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56A5B"/>
    <w:rPr>
      <w:rFonts w:eastAsiaTheme="majorEastAsia" w:cstheme="majorBidi"/>
      <w:color w:val="272727" w:themeColor="text1" w:themeTint="D8"/>
    </w:rPr>
  </w:style>
  <w:style w:type="paragraph" w:styleId="Title">
    <w:name w:val="Title"/>
    <w:basedOn w:val="Normal"/>
    <w:next w:val="Normal"/>
    <w:link w:val="TitleChar"/>
    <w:uiPriority w:val="10"/>
    <w:qFormat/>
    <w:rsid w:val="00356A5B"/>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56A5B"/>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56A5B"/>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56A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A5B"/>
    <w:pPr>
      <w:spacing w:before="160"/>
      <w:jc w:val="center"/>
    </w:pPr>
    <w:rPr>
      <w:i/>
      <w:iCs/>
      <w:color w:val="404040" w:themeColor="text1" w:themeTint="BF"/>
    </w:rPr>
  </w:style>
  <w:style w:type="character" w:styleId="QuoteChar" w:customStyle="1">
    <w:name w:val="Quote Char"/>
    <w:basedOn w:val="DefaultParagraphFont"/>
    <w:link w:val="Quote"/>
    <w:uiPriority w:val="29"/>
    <w:rsid w:val="00356A5B"/>
    <w:rPr>
      <w:i/>
      <w:iCs/>
      <w:color w:val="404040" w:themeColor="text1" w:themeTint="BF"/>
    </w:rPr>
  </w:style>
  <w:style w:type="paragraph" w:styleId="ListParagraph">
    <w:name w:val="List Paragraph"/>
    <w:basedOn w:val="Normal"/>
    <w:uiPriority w:val="34"/>
    <w:qFormat/>
    <w:rsid w:val="00356A5B"/>
    <w:pPr>
      <w:ind w:left="720"/>
      <w:contextualSpacing/>
    </w:pPr>
  </w:style>
  <w:style w:type="character" w:styleId="IntenseEmphasis">
    <w:name w:val="Intense Emphasis"/>
    <w:basedOn w:val="DefaultParagraphFont"/>
    <w:uiPriority w:val="21"/>
    <w:qFormat/>
    <w:rsid w:val="00356A5B"/>
    <w:rPr>
      <w:i/>
      <w:iCs/>
      <w:color w:val="0F4761" w:themeColor="accent1" w:themeShade="BF"/>
    </w:rPr>
  </w:style>
  <w:style w:type="paragraph" w:styleId="IntenseQuote">
    <w:name w:val="Intense Quote"/>
    <w:basedOn w:val="Normal"/>
    <w:next w:val="Normal"/>
    <w:link w:val="IntenseQuoteChar"/>
    <w:uiPriority w:val="30"/>
    <w:qFormat/>
    <w:rsid w:val="00356A5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56A5B"/>
    <w:rPr>
      <w:i/>
      <w:iCs/>
      <w:color w:val="0F4761" w:themeColor="accent1" w:themeShade="BF"/>
    </w:rPr>
  </w:style>
  <w:style w:type="character" w:styleId="IntenseReference">
    <w:name w:val="Intense Reference"/>
    <w:basedOn w:val="DefaultParagraphFont"/>
    <w:uiPriority w:val="32"/>
    <w:qFormat/>
    <w:rsid w:val="00356A5B"/>
    <w:rPr>
      <w:b/>
      <w:bCs/>
      <w:smallCaps/>
      <w:color w:val="0F4761" w:themeColor="accent1" w:themeShade="BF"/>
      <w:spacing w:val="5"/>
    </w:rPr>
  </w:style>
  <w:style w:type="character" w:styleId="Hyperlink">
    <w:name w:val="Hyperlink"/>
    <w:basedOn w:val="DefaultParagraphFont"/>
    <w:uiPriority w:val="99"/>
    <w:unhideWhenUsed/>
    <w:rsid w:val="00A23C77"/>
    <w:rPr>
      <w:color w:val="467886" w:themeColor="hyperlink"/>
      <w:u w:val="single"/>
    </w:rPr>
  </w:style>
  <w:style w:type="character" w:styleId="UnresolvedMention">
    <w:name w:val="Unresolved Mention"/>
    <w:basedOn w:val="DefaultParagraphFont"/>
    <w:uiPriority w:val="99"/>
    <w:semiHidden/>
    <w:unhideWhenUsed/>
    <w:rsid w:val="00A23C77"/>
    <w:rPr>
      <w:color w:val="605E5C"/>
      <w:shd w:val="clear" w:color="auto" w:fill="E1DFDD"/>
    </w:rPr>
  </w:style>
  <w:style w:type="character" w:styleId="period" w:customStyle="1">
    <w:name w:val="period"/>
    <w:basedOn w:val="DefaultParagraphFont"/>
    <w:rsid w:val="00020A41"/>
  </w:style>
  <w:style w:type="character" w:styleId="cit" w:customStyle="1">
    <w:name w:val="cit"/>
    <w:basedOn w:val="DefaultParagraphFont"/>
    <w:rsid w:val="00020A41"/>
  </w:style>
  <w:style w:type="character" w:styleId="citation-doi" w:customStyle="1">
    <w:name w:val="citation-doi"/>
    <w:basedOn w:val="DefaultParagraphFont"/>
    <w:rsid w:val="00020A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yperlink" Target="https://journals.plos.org/plosmedicine/article?id=10.1371/journal.pmed.1004129" TargetMode="External" Id="rId7" /><Relationship Type="http://schemas.openxmlformats.org/officeDocument/2006/relationships/customXml" Target="../customXml/item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journals.lww.com/greenjournal/fulltext/2019/01000/obstetric_care_consensus_no__8__interpregnancy.51.aspx" TargetMode="External" Id="rId6" /><Relationship Type="http://schemas.openxmlformats.org/officeDocument/2006/relationships/customXml" Target="../customXml/item2.xml" Id="rId11" /><Relationship Type="http://schemas.openxmlformats.org/officeDocument/2006/relationships/hyperlink" Target="https://journals.plos.org/plosmedicine/article?id=10.1371/journal.pmed.1004129" TargetMode="External" Id="rId5" /><Relationship Type="http://schemas.openxmlformats.org/officeDocument/2006/relationships/customXml" Target="../customXml/item1.xml" Id="rId10"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001AFB2A05B84C931154E4DA7B00C7" ma:contentTypeVersion="4" ma:contentTypeDescription="Create a new document." ma:contentTypeScope="" ma:versionID="63c38037acec81c2ff30de1d65199b1e">
  <xsd:schema xmlns:xsd="http://www.w3.org/2001/XMLSchema" xmlns:xs="http://www.w3.org/2001/XMLSchema" xmlns:p="http://schemas.microsoft.com/office/2006/metadata/properties" xmlns:ns2="442ccdc4-b561-4efb-a3d0-9a13ebf6bd2f" targetNamespace="http://schemas.microsoft.com/office/2006/metadata/properties" ma:root="true" ma:fieldsID="212623360f1a29c52f6452286d135e0b" ns2:_="">
    <xsd:import namespace="442ccdc4-b561-4efb-a3d0-9a13ebf6bd2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2ccdc4-b561-4efb-a3d0-9a13ebf6bd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0493B8-2BD7-41AF-B4CA-1F617130C61D}"/>
</file>

<file path=customXml/itemProps2.xml><?xml version="1.0" encoding="utf-8"?>
<ds:datastoreItem xmlns:ds="http://schemas.openxmlformats.org/officeDocument/2006/customXml" ds:itemID="{56745A11-9EDE-4168-90F0-FF34A816C619}"/>
</file>

<file path=customXml/itemProps3.xml><?xml version="1.0" encoding="utf-8"?>
<ds:datastoreItem xmlns:ds="http://schemas.openxmlformats.org/officeDocument/2006/customXml" ds:itemID="{B130DCDD-7180-43FC-989C-83E6016B92D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Lindsay Weinrich</dc:creator>
  <cp:keywords/>
  <dc:description/>
  <cp:lastModifiedBy>Gary Burgoine</cp:lastModifiedBy>
  <cp:revision>3</cp:revision>
  <dcterms:created xsi:type="dcterms:W3CDTF">2026-07-06T23:50:00Z</dcterms:created>
  <dcterms:modified xsi:type="dcterms:W3CDTF">2026-07-23T18:31:38Z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0x010100B3001AFB2A05B84C931154E4DA7B00C7</vt:lpwstr>
  </property>
</Properties>
</file>