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7A73A57" w:rsidP="1175A982" w:rsidRDefault="67A73A57" w14:paraId="10876586" w14:textId="7EEF0549">
      <w:pPr>
        <w:rPr>
          <w:rFonts w:ascii="Aptos" w:hAnsi="Aptos" w:asciiTheme="minorAscii" w:hAnsiTheme="minorAscii"/>
          <w:b w:val="1"/>
          <w:bCs w:val="1"/>
          <w:sz w:val="28"/>
          <w:szCs w:val="28"/>
        </w:rPr>
      </w:pPr>
      <w:r w:rsidRPr="1175A982" w:rsidR="67A73A57">
        <w:rPr>
          <w:rFonts w:ascii="Aptos" w:hAnsi="Aptos" w:asciiTheme="minorAscii" w:hAnsiTheme="minorAscii"/>
          <w:b w:val="1"/>
          <w:bCs w:val="1"/>
          <w:sz w:val="28"/>
          <w:szCs w:val="28"/>
        </w:rPr>
        <w:t>Management of Weak D Antigen in Obstetric Patients</w:t>
      </w:r>
    </w:p>
    <w:p w:rsidRPr="006E7FD3" w:rsidR="005C41F1" w:rsidRDefault="006E7FD3" w14:paraId="66E2D09F" w14:textId="2B48B1C3">
      <w:pPr>
        <w:rPr>
          <w:rFonts w:asciiTheme="minorHAnsi" w:hAnsiTheme="minorHAnsi"/>
        </w:rPr>
      </w:pPr>
      <w:r w:rsidRPr="1175A982" w:rsidR="78318D6A">
        <w:rPr>
          <w:rFonts w:ascii="Aptos" w:hAnsi="Aptos" w:asciiTheme="minorAscii" w:hAnsiTheme="minorAscii"/>
          <w:b w:val="1"/>
          <w:bCs w:val="1"/>
        </w:rPr>
        <w:t>SITUATION</w:t>
      </w:r>
    </w:p>
    <w:p w:rsidRPr="006E7FD3" w:rsidR="005C41F1" w:rsidP="1175A982" w:rsidRDefault="00000000" w14:paraId="59507A7F" w14:textId="30D4D7B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175A982" w:rsidR="6E863CFF">
        <w:rPr>
          <w:rFonts w:ascii="Aptos" w:hAnsi="Aptos" w:asciiTheme="minorAscii" w:hAnsiTheme="minorAscii"/>
        </w:rPr>
        <w:t>Please treat</w:t>
      </w:r>
      <w:r w:rsidRPr="1175A982" w:rsidR="5ACC4E07">
        <w:rPr>
          <w:rFonts w:ascii="Aptos" w:hAnsi="Aptos" w:asciiTheme="minorAscii" w:hAnsiTheme="minorAscii"/>
        </w:rPr>
        <w:t xml:space="preserve"> obstetric patients </w:t>
      </w:r>
      <w:r w:rsidRPr="1175A982" w:rsidR="1A5832DF">
        <w:rPr>
          <w:rFonts w:ascii="Aptos" w:hAnsi="Aptos" w:asciiTheme="minorAscii" w:hAnsiTheme="minorAscii"/>
        </w:rPr>
        <w:t xml:space="preserve">who </w:t>
      </w:r>
      <w:r w:rsidRPr="1175A982" w:rsidR="1A5832DF">
        <w:rPr>
          <w:rFonts w:ascii="Aptos" w:hAnsi="Aptos" w:asciiTheme="minorAscii" w:hAnsiTheme="minorAscii"/>
        </w:rPr>
        <w:t>test as</w:t>
      </w:r>
      <w:r w:rsidRPr="1175A982" w:rsidR="5ACC4E07">
        <w:rPr>
          <w:rFonts w:ascii="Aptos" w:hAnsi="Aptos" w:asciiTheme="minorAscii" w:hAnsiTheme="minorAscii"/>
        </w:rPr>
        <w:t xml:space="preserve"> </w:t>
      </w:r>
      <w:r w:rsidRPr="1175A982" w:rsidR="5ACC4E07">
        <w:rPr>
          <w:rFonts w:ascii="Aptos" w:hAnsi="Aptos" w:asciiTheme="minorAscii" w:hAnsiTheme="minorAscii"/>
        </w:rPr>
        <w:t>serologic</w:t>
      </w:r>
      <w:r w:rsidRPr="1175A982" w:rsidR="5ACC4E07">
        <w:rPr>
          <w:rFonts w:ascii="Aptos" w:hAnsi="Aptos" w:asciiTheme="minorAscii" w:hAnsiTheme="minorAscii"/>
        </w:rPr>
        <w:t xml:space="preserve"> </w:t>
      </w:r>
      <w:r w:rsidRPr="1175A982" w:rsidR="04836851">
        <w:rPr>
          <w:rFonts w:ascii="Aptos" w:hAnsi="Aptos" w:asciiTheme="minorAscii" w:hAnsiTheme="minorAscii"/>
        </w:rPr>
        <w:t>ABORh</w:t>
      </w:r>
      <w:r w:rsidRPr="1175A982" w:rsidR="04836851">
        <w:rPr>
          <w:rFonts w:ascii="Aptos" w:hAnsi="Aptos" w:asciiTheme="minorAscii" w:hAnsiTheme="minorAscii"/>
        </w:rPr>
        <w:t xml:space="preserve"> </w:t>
      </w:r>
      <w:r w:rsidRPr="1175A982" w:rsidR="5ACC4E07">
        <w:rPr>
          <w:rFonts w:ascii="Aptos" w:hAnsi="Aptos" w:asciiTheme="minorAscii" w:hAnsiTheme="minorAscii"/>
        </w:rPr>
        <w:t xml:space="preserve">"weak D" as Rh-negative (with routine </w:t>
      </w:r>
      <w:r w:rsidRPr="1175A982" w:rsidR="5ACC4E07">
        <w:rPr>
          <w:rFonts w:ascii="Aptos" w:hAnsi="Aptos" w:asciiTheme="minorAscii" w:hAnsiTheme="minorAscii"/>
        </w:rPr>
        <w:t>RhIG</w:t>
      </w:r>
      <w:r w:rsidRPr="1175A982" w:rsidR="5ACC4E07">
        <w:rPr>
          <w:rFonts w:ascii="Aptos" w:hAnsi="Aptos" w:asciiTheme="minorAscii" w:hAnsiTheme="minorAscii"/>
        </w:rPr>
        <w:t xml:space="preserve"> prophylaxis)</w:t>
      </w:r>
      <w:r w:rsidRPr="1175A982" w:rsidR="6A2DB451">
        <w:rPr>
          <w:rFonts w:ascii="Aptos" w:hAnsi="Aptos" w:asciiTheme="minorAscii" w:hAnsiTheme="minorAscii"/>
        </w:rPr>
        <w:t xml:space="preserve">.  NWP/WHA does not recommend </w:t>
      </w:r>
      <w:r w:rsidRPr="1175A982" w:rsidR="5ACC4E07">
        <w:rPr>
          <w:rFonts w:ascii="Aptos" w:hAnsi="Aptos" w:asciiTheme="minorAscii" w:hAnsiTheme="minorAscii"/>
        </w:rPr>
        <w:t xml:space="preserve">RHD genotyping to </w:t>
      </w:r>
      <w:r w:rsidRPr="1175A982" w:rsidR="5ACC4E07">
        <w:rPr>
          <w:rFonts w:ascii="Aptos" w:hAnsi="Aptos" w:asciiTheme="minorAscii" w:hAnsiTheme="minorAscii"/>
        </w:rPr>
        <w:t>determine</w:t>
      </w:r>
      <w:r w:rsidRPr="1175A982" w:rsidR="5ACC4E07">
        <w:rPr>
          <w:rFonts w:ascii="Aptos" w:hAnsi="Aptos" w:asciiTheme="minorAscii" w:hAnsiTheme="minorAscii"/>
        </w:rPr>
        <w:t xml:space="preserve"> if they can be managed as Rh-positive</w:t>
      </w:r>
      <w:r w:rsidRPr="1175A982" w:rsidR="3A92A1E1">
        <w:rPr>
          <w:rFonts w:ascii="Aptos" w:hAnsi="Aptos" w:asciiTheme="minorAscii" w:hAnsiTheme="minorAscii"/>
        </w:rPr>
        <w:t>.</w:t>
      </w:r>
    </w:p>
    <w:p w:rsidR="1CE13A51" w:rsidP="1175A982" w:rsidRDefault="1CE13A51" w14:paraId="7CDC73FE" w14:textId="23FF665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175A982" w:rsidR="1CE13A51">
        <w:rPr>
          <w:rFonts w:ascii="Aptos" w:hAnsi="Aptos" w:asciiTheme="minorAscii" w:hAnsiTheme="minorAscii"/>
        </w:rPr>
        <w:t>Please consult NWP with questions or concerns about Rh Isoimmunization or other antigen isoimmunization concerns.</w:t>
      </w:r>
    </w:p>
    <w:p w:rsidRPr="006E7FD3" w:rsidR="005C41F1" w:rsidRDefault="006E7FD3" w14:paraId="7F784EB9" w14:textId="7D7ABECB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BACKGROUND</w:t>
      </w:r>
    </w:p>
    <w:p w:rsidRPr="006E7FD3" w:rsidR="005C41F1" w:rsidRDefault="00000000" w14:paraId="1B4C9935" w14:textId="4B98CD8D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Approximately 0.2–1.0% of individuals have a serologic weak D phenotype. In the United States, ~80% of Caucasians with weak D carry types 1, 2, or 3, which express reduced but normal D antigen and are NOT at risk for anti-D alloimmunization. The remaining ~20% carry partial or variant D alleles and CAN form anti-D antibodies. The distribution of weak D types varies significantly by race and ethnicity: weak D types 1, 2, or 3 were found in 66% of White patients versus only 3% of ethnically diverse patients in one U.S. institutional study.</w:t>
      </w:r>
    </w:p>
    <w:p w:rsidRPr="006E7FD3" w:rsidR="005C41F1" w:rsidRDefault="00000000" w14:paraId="649E47BD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  <w:b/>
          <w:bCs/>
        </w:rPr>
        <w:t>Society Guideline Positions</w:t>
      </w:r>
    </w:p>
    <w:p w:rsidRPr="006E7FD3" w:rsidR="005C41F1" w:rsidRDefault="00000000" w14:paraId="2733146C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ACOG (Practice Bulletin No. 181, 2017): Acknowledges that weak D types 1, 2, and 3 are not associated with alloimmunization risk, but notes a "lack of comprehensive cost-benefit analysis." ACOG advises clinicians to administer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to patients with weak D blood type in appropriate clinical situations "until further scientific and economic studies are available."</w:t>
      </w:r>
    </w:p>
    <w:p w:rsidR="005C41F1" w:rsidRDefault="00000000" w14:paraId="6DA34940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ACOG (Practice Bulletin No. 192, 2018 — Management of Alloimmunization): States that "patients who are weak D (Du) positive are not at risk for alloimmunization and should not receive anti-D </w:t>
      </w:r>
      <w:proofErr w:type="spellStart"/>
      <w:r w:rsidRPr="006E7FD3">
        <w:rPr>
          <w:rFonts w:asciiTheme="minorHAnsi" w:hAnsiTheme="minorHAnsi"/>
        </w:rPr>
        <w:t>immunoprophylaxis</w:t>
      </w:r>
      <w:proofErr w:type="spellEnd"/>
      <w:r w:rsidRPr="006E7FD3">
        <w:rPr>
          <w:rFonts w:asciiTheme="minorHAnsi" w:hAnsiTheme="minorHAnsi"/>
        </w:rPr>
        <w:t>."</w:t>
      </w:r>
    </w:p>
    <w:p w:rsidRPr="006E7FD3" w:rsidR="006E7FD3" w:rsidP="006E7FD3" w:rsidRDefault="006E7FD3" w14:paraId="1D26D091" w14:textId="1369318B">
      <w:pPr>
        <w:ind w:left="720"/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Note: The two ACOG bulletins contain an internal inconsistency — PB 181 recommends treating weak D as Rh-negative pending further data, while PB 192 states weak D (Du) positive patients are not at risk and should not receive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>.</w:t>
      </w:r>
    </w:p>
    <w:p w:rsidRPr="006E7FD3" w:rsidR="005C41F1" w:rsidRDefault="00000000" w14:paraId="510C7A80" w14:textId="795C49AD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CAP/AABB Joint Work Group on RHD Genotyping (2015): Recommends RHD genotyping when a serologic weak D is identified in a female of childbearing potential. Estimates that genotyping could eliminate ~24,700 unnecessary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doses annually in the U.S. Individuals with weak D types 1, 2, or 3 can be managed safely as Rh-positive.</w:t>
      </w:r>
    </w:p>
    <w:p w:rsidRPr="006E7FD3" w:rsidR="005C41F1" w:rsidRDefault="00000000" w14:paraId="66C46248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  <w:b/>
          <w:bCs/>
        </w:rPr>
        <w:t xml:space="preserve">Safety of </w:t>
      </w:r>
      <w:proofErr w:type="spellStart"/>
      <w:r w:rsidRPr="006E7FD3">
        <w:rPr>
          <w:rFonts w:asciiTheme="minorHAnsi" w:hAnsiTheme="minorHAnsi"/>
          <w:b/>
          <w:bCs/>
        </w:rPr>
        <w:t>RhIG</w:t>
      </w:r>
      <w:proofErr w:type="spellEnd"/>
      <w:r w:rsidRPr="006E7FD3">
        <w:rPr>
          <w:rFonts w:asciiTheme="minorHAnsi" w:hAnsiTheme="minorHAnsi"/>
          <w:b/>
          <w:bCs/>
        </w:rPr>
        <w:t xml:space="preserve"> Administration</w:t>
      </w:r>
    </w:p>
    <w:p w:rsidRPr="006E7FD3" w:rsidR="005C41F1" w:rsidRDefault="00000000" w14:paraId="3FC28E98" w14:textId="08DA7278">
      <w:pPr>
        <w:rPr>
          <w:rFonts w:asciiTheme="minorHAnsi" w:hAnsiTheme="minorHAnsi"/>
        </w:rPr>
      </w:pP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is a pooled human plasma product with an established safety profile. The most common adverse reactions (≥0.5%) include nausea, dizziness, headache, injection-site pain, and malaise. There is an exceedingly low theoretical risk of viral transmission; </w:t>
      </w:r>
      <w:r w:rsidRPr="006E7FD3">
        <w:rPr>
          <w:rFonts w:asciiTheme="minorHAnsi" w:hAnsiTheme="minorHAnsi"/>
        </w:rPr>
        <w:lastRenderedPageBreak/>
        <w:t xml:space="preserve">since 1985, all plasma used for production has been tested for viral infections with additional fractionation and purification steps. Historical contamination with hepatitis C virus occurred in the 1970s–1990s in Ireland and Germany, but modern manufacturing has not had similar events. Overall, the </w:t>
      </w:r>
      <w:proofErr w:type="gramStart"/>
      <w:r w:rsidRPr="006E7FD3">
        <w:rPr>
          <w:rFonts w:asciiTheme="minorHAnsi" w:hAnsiTheme="minorHAnsi"/>
        </w:rPr>
        <w:t>safety profile</w:t>
      </w:r>
      <w:proofErr w:type="gramEnd"/>
      <w:r w:rsidRPr="006E7FD3">
        <w:rPr>
          <w:rFonts w:asciiTheme="minorHAnsi" w:hAnsiTheme="minorHAnsi"/>
        </w:rPr>
        <w:t xml:space="preserve"> of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in pregnancy is favorable.</w:t>
      </w:r>
    </w:p>
    <w:p w:rsidRPr="006E7FD3" w:rsidR="005C41F1" w:rsidRDefault="00000000" w14:paraId="25E52CCB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  <w:b/>
          <w:bCs/>
        </w:rPr>
        <w:t>Cost Analysis</w:t>
      </w:r>
    </w:p>
    <w:p w:rsidRPr="006E7FD3" w:rsidR="005C41F1" w:rsidRDefault="00000000" w14:paraId="63F43DD6" w14:textId="77777777">
      <w:pPr>
        <w:rPr>
          <w:rFonts w:asciiTheme="minorHAnsi" w:hAnsiTheme="minorHAnsi"/>
          <w:b/>
          <w:bCs/>
        </w:rPr>
      </w:pPr>
      <w:r w:rsidRPr="006E7FD3">
        <w:rPr>
          <w:rFonts w:asciiTheme="minorHAnsi" w:hAnsiTheme="minorHAnsi"/>
          <w:b/>
          <w:bCs/>
        </w:rPr>
        <w:t>RHD Genotyping:</w:t>
      </w:r>
    </w:p>
    <w:p w:rsidRPr="006E7FD3" w:rsidR="005C41F1" w:rsidRDefault="00000000" w14:paraId="2BF52FA2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- Local cost via </w:t>
      </w:r>
      <w:proofErr w:type="spellStart"/>
      <w:r w:rsidRPr="006E7FD3">
        <w:rPr>
          <w:rFonts w:asciiTheme="minorHAnsi" w:hAnsiTheme="minorHAnsi"/>
        </w:rPr>
        <w:t>Bloodworks</w:t>
      </w:r>
      <w:proofErr w:type="spellEnd"/>
      <w:r w:rsidRPr="006E7FD3">
        <w:rPr>
          <w:rFonts w:asciiTheme="minorHAnsi" w:hAnsiTheme="minorHAnsi"/>
        </w:rPr>
        <w:t xml:space="preserve"> NW: $550 per test</w:t>
      </w:r>
    </w:p>
    <w:p w:rsidRPr="006E7FD3" w:rsidR="005C41F1" w:rsidRDefault="00000000" w14:paraId="78311B1C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- Not billable to insurance through WHA (test performed by external reference lab)</w:t>
      </w:r>
    </w:p>
    <w:p w:rsidRPr="006E7FD3" w:rsidR="005C41F1" w:rsidRDefault="00000000" w14:paraId="0EEA0965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- Patient bears full out-of-pocket cost or WHA absorbs the charge</w:t>
      </w:r>
    </w:p>
    <w:p w:rsidRPr="006E7FD3" w:rsidR="005C41F1" w:rsidP="1175A982" w:rsidRDefault="00000000" w14:paraId="437723DC" w14:textId="7187AC75">
      <w:pPr>
        <w:rPr>
          <w:rFonts w:ascii="Aptos" w:hAnsi="Aptos" w:asciiTheme="minorAscii" w:hAnsiTheme="minorAscii"/>
        </w:rPr>
      </w:pPr>
      <w:r w:rsidRPr="1175A982" w:rsidR="5ACC4E07">
        <w:rPr>
          <w:rFonts w:ascii="Aptos" w:hAnsi="Aptos" w:asciiTheme="minorAscii" w:hAnsiTheme="minorAscii"/>
        </w:rPr>
        <w:t>- Published cost-effectiveness threshold: genotyping is cost-saving only when test cost is below $256 per test</w:t>
      </w:r>
      <w:r w:rsidRPr="1175A982" w:rsidR="6511456F">
        <w:rPr>
          <w:rFonts w:ascii="Aptos" w:hAnsi="Aptos" w:asciiTheme="minorAscii" w:hAnsiTheme="minorAscii"/>
        </w:rPr>
        <w:t xml:space="preserve">.  </w:t>
      </w:r>
      <w:r w:rsidRPr="1175A982" w:rsidR="6511456F">
        <w:rPr>
          <w:rFonts w:ascii="Aptos" w:hAnsi="Aptos" w:asciiTheme="minorAscii" w:hAnsiTheme="minorAscii"/>
        </w:rPr>
        <w:t>At $550, genotyping is well above the cost-effectiveness threshold</w:t>
      </w:r>
    </w:p>
    <w:p w:rsidRPr="006E7FD3" w:rsidR="005C41F1" w:rsidRDefault="00000000" w14:paraId="51649BF4" w14:textId="77777777">
      <w:pPr>
        <w:rPr>
          <w:rFonts w:asciiTheme="minorHAnsi" w:hAnsiTheme="minorHAnsi"/>
          <w:b/>
          <w:bCs/>
        </w:rPr>
      </w:pPr>
      <w:proofErr w:type="spellStart"/>
      <w:r w:rsidRPr="006E7FD3">
        <w:rPr>
          <w:rFonts w:asciiTheme="minorHAnsi" w:hAnsiTheme="minorHAnsi"/>
          <w:b/>
          <w:bCs/>
        </w:rPr>
        <w:t>RhIG</w:t>
      </w:r>
      <w:proofErr w:type="spellEnd"/>
      <w:r w:rsidRPr="006E7FD3">
        <w:rPr>
          <w:rFonts w:asciiTheme="minorHAnsi" w:hAnsiTheme="minorHAnsi"/>
          <w:b/>
          <w:bCs/>
        </w:rPr>
        <w:t xml:space="preserve"> (RhoGAM/</w:t>
      </w:r>
      <w:proofErr w:type="spellStart"/>
      <w:r w:rsidRPr="006E7FD3">
        <w:rPr>
          <w:rFonts w:asciiTheme="minorHAnsi" w:hAnsiTheme="minorHAnsi"/>
          <w:b/>
          <w:bCs/>
        </w:rPr>
        <w:t>Rhophylac</w:t>
      </w:r>
      <w:proofErr w:type="spellEnd"/>
      <w:r w:rsidRPr="006E7FD3">
        <w:rPr>
          <w:rFonts w:asciiTheme="minorHAnsi" w:hAnsiTheme="minorHAnsi"/>
          <w:b/>
          <w:bCs/>
        </w:rPr>
        <w:t>):</w:t>
      </w:r>
    </w:p>
    <w:p w:rsidRPr="006E7FD3" w:rsidR="005C41F1" w:rsidRDefault="00000000" w14:paraId="1BBFB2F7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- Covered by insurance as standard of care</w:t>
      </w:r>
    </w:p>
    <w:p w:rsidRPr="006E7FD3" w:rsidR="005C41F1" w:rsidRDefault="00000000" w14:paraId="2441609C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- Mean per-patient cost of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administration (including medication): ~$146</w:t>
      </w:r>
    </w:p>
    <w:p w:rsidRPr="006E7FD3" w:rsidR="005C41F1" w:rsidRDefault="00000000" w14:paraId="7B2400F5" w14:textId="77777777">
      <w:pPr>
        <w:rPr>
          <w:rFonts w:asciiTheme="minorHAnsi" w:hAnsiTheme="minorHAnsi"/>
        </w:rPr>
      </w:pPr>
      <w:r w:rsidRPr="1175A982" w:rsidR="5ACC4E07">
        <w:rPr>
          <w:rFonts w:ascii="Aptos" w:hAnsi="Aptos" w:asciiTheme="minorAscii" w:hAnsiTheme="minorAscii"/>
        </w:rPr>
        <w:t>- A typical uncomplicated pregnancy requires 1–2 doses (28 weeks + postpartum if infant is Rh-positive)</w:t>
      </w:r>
    </w:p>
    <w:p w:rsidR="1175A982" w:rsidP="1175A982" w:rsidRDefault="1175A982" w14:paraId="02947913" w14:textId="27892C2E">
      <w:pPr>
        <w:rPr>
          <w:rFonts w:ascii="Aptos" w:hAnsi="Aptos" w:asciiTheme="minorAscii" w:hAnsiTheme="minorAscii"/>
          <w:b w:val="1"/>
          <w:bCs w:val="1"/>
        </w:rPr>
      </w:pPr>
    </w:p>
    <w:p w:rsidRPr="006E7FD3" w:rsidR="006E7FD3" w:rsidRDefault="00000000" w14:paraId="6AF0E02A" w14:textId="35871BE1">
      <w:pPr>
        <w:rPr>
          <w:rFonts w:asciiTheme="minorHAnsi" w:hAnsiTheme="minorHAnsi"/>
          <w:b/>
          <w:bCs/>
        </w:rPr>
      </w:pPr>
      <w:r w:rsidRPr="006E7FD3">
        <w:rPr>
          <w:rFonts w:asciiTheme="minorHAnsi" w:hAnsiTheme="minorHAnsi"/>
          <w:b/>
          <w:bCs/>
        </w:rPr>
        <w:t>Equity Considerations</w:t>
      </w:r>
    </w:p>
    <w:p w:rsidRPr="006E7FD3" w:rsidR="005C41F1" w:rsidRDefault="00000000" w14:paraId="0BED22E4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- Genotyping is cost-saving only in non-Hispanic Caucasian women (-$0.17/pregnancy) and increases costs in non-Hispanic African American (+$0.51/pregnancy), Hispanic (+$0.37/pregnancy), and American Indian/Alaska Native (+$0.10/pregnancy) populations</w:t>
      </w:r>
    </w:p>
    <w:p w:rsidRPr="006E7FD3" w:rsidR="005C41F1" w:rsidRDefault="00000000" w14:paraId="236031B6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- This disparity arises because weak D types 1, 2, and 3 predominate in Caucasians (~66–95%) but are rare in diverse ethnic populations (~3%), meaning most non-White patients who undergo genotyping will still require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</w:p>
    <w:p w:rsidRPr="006E7FD3" w:rsidR="005C41F1" w:rsidRDefault="00000000" w14:paraId="45EFF1BD" w14:textId="10A91C6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- At $550 out-of-pocket, the test disproportionately burdens patients who are least likely to benefit from it</w:t>
      </w:r>
    </w:p>
    <w:p w:rsidRPr="006E7FD3" w:rsidR="005C41F1" w:rsidRDefault="006E7FD3" w14:paraId="2119B348" w14:textId="2FC12492">
      <w:p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>RECOMMENDATION (from NWP)</w:t>
      </w:r>
    </w:p>
    <w:p w:rsidR="006E7FD3" w:rsidRDefault="00000000" w14:paraId="2401A1AF" w14:textId="1FA4B94D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lastRenderedPageBreak/>
        <w:t xml:space="preserve">Manage all obstetric patients with a serologic weak D phenotype as Rh-negative and administer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per standard protocols. </w:t>
      </w:r>
    </w:p>
    <w:p w:rsidRPr="006E7FD3" w:rsidR="005C41F1" w:rsidRDefault="006E7FD3" w14:paraId="71FF9FE7" w14:textId="7C823CEC">
      <w:pPr>
        <w:rPr>
          <w:rFonts w:asciiTheme="minorHAnsi" w:hAnsiTheme="minorHAnsi"/>
          <w:b/>
          <w:bCs/>
        </w:rPr>
      </w:pPr>
      <w:r w:rsidRPr="006E7FD3">
        <w:rPr>
          <w:rFonts w:asciiTheme="minorHAnsi" w:hAnsiTheme="minorHAnsi"/>
          <w:b/>
          <w:bCs/>
        </w:rPr>
        <w:t>Rationale</w:t>
      </w:r>
    </w:p>
    <w:p w:rsidRPr="006E7FD3" w:rsidR="005C41F1" w:rsidRDefault="00000000" w14:paraId="76A65D72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1. ACOG PB 181 (2017) explicitly recommends treating weak D as Rh-negative pending further cost-benefit data — this is the most directly applicable ACOG guidance for obstetric prophylaxis.</w:t>
      </w:r>
    </w:p>
    <w:p w:rsidRPr="006E7FD3" w:rsidR="005C41F1" w:rsidRDefault="00000000" w14:paraId="675BDA6B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2. Safety: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has a well-established safety profile with minimal risk. The consequence of missed prophylaxis (alloimmunization leading to hemolytic disease of the fetus and </w:t>
      </w:r>
      <w:proofErr w:type="gramStart"/>
      <w:r w:rsidRPr="006E7FD3">
        <w:rPr>
          <w:rFonts w:asciiTheme="minorHAnsi" w:hAnsiTheme="minorHAnsi"/>
        </w:rPr>
        <w:t>newborn</w:t>
      </w:r>
      <w:proofErr w:type="gramEnd"/>
      <w:r w:rsidRPr="006E7FD3">
        <w:rPr>
          <w:rFonts w:asciiTheme="minorHAnsi" w:hAnsiTheme="minorHAnsi"/>
        </w:rPr>
        <w:t>) is severe and potentially fatal.</w:t>
      </w:r>
    </w:p>
    <w:p w:rsidRPr="006E7FD3" w:rsidR="005C41F1" w:rsidRDefault="00000000" w14:paraId="49D72C63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 xml:space="preserve">3. Cost: At $550 per test — more than double the published cost-effectiveness threshold of $256 — genotyping is not cost-effective in this practice setting. </w:t>
      </w:r>
      <w:proofErr w:type="spellStart"/>
      <w:r w:rsidRPr="006E7FD3">
        <w:rPr>
          <w:rFonts w:asciiTheme="minorHAnsi" w:hAnsiTheme="minorHAnsi"/>
        </w:rPr>
        <w:t>RhIG</w:t>
      </w:r>
      <w:proofErr w:type="spellEnd"/>
      <w:r w:rsidRPr="006E7FD3">
        <w:rPr>
          <w:rFonts w:asciiTheme="minorHAnsi" w:hAnsiTheme="minorHAnsi"/>
        </w:rPr>
        <w:t xml:space="preserve"> is insurance-covered with no out-of-pocket burden to patients.</w:t>
      </w:r>
    </w:p>
    <w:p w:rsidRPr="006E7FD3" w:rsidR="005C41F1" w:rsidRDefault="00000000" w14:paraId="5ECEB2EC" w14:textId="77777777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4. Equity: Genotyping disproportionately costs more and benefits less in non-White patient populations. A universal Rh-negative management approach eliminates this disparity.</w:t>
      </w:r>
    </w:p>
    <w:p w:rsidR="006E7FD3" w:rsidRDefault="00000000" w14:paraId="75DABB0C" w14:textId="666A8DBB">
      <w:pPr>
        <w:rPr>
          <w:rFonts w:asciiTheme="minorHAnsi" w:hAnsiTheme="minorHAnsi"/>
        </w:rPr>
      </w:pPr>
      <w:r w:rsidRPr="006E7FD3">
        <w:rPr>
          <w:rFonts w:asciiTheme="minorHAnsi" w:hAnsiTheme="minorHAnsi"/>
        </w:rPr>
        <w:t>5. Operational simplicity: A single standardized protocol reduces the risk of errors from inconsistent Rh typing interpretations across providers and laboratories.</w:t>
      </w:r>
    </w:p>
    <w:p w:rsidRPr="008B48D1" w:rsidR="008B48D1" w:rsidP="008B48D1" w:rsidRDefault="008B48D1" w14:paraId="368DF5C3" w14:textId="69D5BA06">
      <w:pPr>
        <w:rPr>
          <w:rFonts w:asciiTheme="minorHAnsi" w:hAnsiTheme="minorHAnsi"/>
          <w:b/>
          <w:bCs/>
        </w:rPr>
      </w:pPr>
      <w:r w:rsidRPr="008B48D1">
        <w:rPr>
          <w:rFonts w:asciiTheme="minorHAnsi" w:hAnsiTheme="minorHAnsi"/>
          <w:b/>
          <w:bCs/>
        </w:rPr>
        <w:t>References</w:t>
      </w:r>
    </w:p>
    <w:p w:rsidRPr="008B48D1" w:rsidR="008B48D1" w:rsidP="008B48D1" w:rsidRDefault="008B48D1" w14:paraId="069EBFE4" w14:textId="14860FCE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1.</w:t>
      </w:r>
      <w:r>
        <w:rPr>
          <w:rFonts w:asciiTheme="minorHAnsi" w:hAnsiTheme="minorHAnsi"/>
        </w:rPr>
        <w:t xml:space="preserve"> </w:t>
      </w:r>
      <w:hyperlink w:tgtFrame="_blank" w:history="1" r:id="rId5">
        <w:r w:rsidRPr="008B48D1">
          <w:rPr>
            <w:rStyle w:val="Hyperlink"/>
            <w:rFonts w:asciiTheme="minorHAnsi" w:hAnsiTheme="minorHAnsi"/>
          </w:rPr>
          <w:t>Practice Bulletin No. 181: Preventi</w:t>
        </w:r>
        <w:r w:rsidRPr="008B48D1">
          <w:rPr>
            <w:rStyle w:val="Hyperlink"/>
            <w:rFonts w:asciiTheme="minorHAnsi" w:hAnsiTheme="minorHAnsi"/>
          </w:rPr>
          <w:t>o</w:t>
        </w:r>
        <w:r w:rsidRPr="008B48D1">
          <w:rPr>
            <w:rStyle w:val="Hyperlink"/>
            <w:rFonts w:asciiTheme="minorHAnsi" w:hAnsiTheme="minorHAnsi"/>
          </w:rPr>
          <w:t>n of Rh D Alloimmunization.</w:t>
        </w:r>
      </w:hyperlink>
    </w:p>
    <w:p w:rsidRPr="008B48D1" w:rsidR="008B48D1" w:rsidP="008B48D1" w:rsidRDefault="008B48D1" w14:paraId="133439E4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Obstetrics and Gynecology. 2017. Committee on Practice Bulletins—</w:t>
      </w:r>
      <w:proofErr w:type="spellStart"/>
      <w:r w:rsidRPr="008B48D1">
        <w:rPr>
          <w:rFonts w:asciiTheme="minorHAnsi" w:hAnsiTheme="minorHAnsi"/>
        </w:rPr>
        <w:t>ObstetricsGuideline</w:t>
      </w:r>
      <w:proofErr w:type="spellEnd"/>
    </w:p>
    <w:p w:rsidRPr="008B48D1" w:rsidR="008B48D1" w:rsidP="008B48D1" w:rsidRDefault="008B48D1" w14:paraId="180975F1" w14:textId="3D266F1C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2.</w:t>
      </w:r>
      <w:r>
        <w:rPr>
          <w:rFonts w:asciiTheme="minorHAnsi" w:hAnsiTheme="minorHAnsi"/>
        </w:rPr>
        <w:t xml:space="preserve"> </w:t>
      </w:r>
      <w:hyperlink w:tgtFrame="_blank" w:history="1" r:id="rId6">
        <w:r w:rsidRPr="008B48D1">
          <w:rPr>
            <w:rStyle w:val="Hyperlink"/>
            <w:rFonts w:asciiTheme="minorHAnsi" w:hAnsiTheme="minorHAnsi"/>
          </w:rPr>
          <w:t>ACOG Practice Bulletin No. 192: Management of Alloimmunization During Pregnancy.</w:t>
        </w:r>
      </w:hyperlink>
    </w:p>
    <w:p w:rsidRPr="008B48D1" w:rsidR="008B48D1" w:rsidP="008B48D1" w:rsidRDefault="008B48D1" w14:paraId="3DFE6E0D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Obstetrics and Gynecology. 2018. Committee on Practice Bulletins—</w:t>
      </w:r>
      <w:proofErr w:type="spellStart"/>
      <w:r w:rsidRPr="008B48D1">
        <w:rPr>
          <w:rFonts w:asciiTheme="minorHAnsi" w:hAnsiTheme="minorHAnsi"/>
        </w:rPr>
        <w:t>ObstetricsGuideline</w:t>
      </w:r>
      <w:proofErr w:type="spellEnd"/>
    </w:p>
    <w:p w:rsidRPr="008B48D1" w:rsidR="008B48D1" w:rsidP="008B48D1" w:rsidRDefault="008B48D1" w14:paraId="3629D27B" w14:textId="29DC6225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3.</w:t>
      </w:r>
      <w:r>
        <w:rPr>
          <w:rFonts w:asciiTheme="minorHAnsi" w:hAnsiTheme="minorHAnsi"/>
        </w:rPr>
        <w:t xml:space="preserve"> </w:t>
      </w:r>
      <w:hyperlink w:tgtFrame="_blank" w:history="1" r:id="rId7">
        <w:r w:rsidRPr="008B48D1">
          <w:rPr>
            <w:rStyle w:val="Hyperlink"/>
            <w:rFonts w:asciiTheme="minorHAnsi" w:hAnsiTheme="minorHAnsi"/>
          </w:rPr>
          <w:t xml:space="preserve">Financial Implications of RHD Genotyping of Pregnant Women </w:t>
        </w:r>
        <w:proofErr w:type="gramStart"/>
        <w:r w:rsidRPr="008B48D1">
          <w:rPr>
            <w:rStyle w:val="Hyperlink"/>
            <w:rFonts w:asciiTheme="minorHAnsi" w:hAnsiTheme="minorHAnsi"/>
          </w:rPr>
          <w:t>With</w:t>
        </w:r>
        <w:proofErr w:type="gramEnd"/>
        <w:r w:rsidRPr="008B48D1">
          <w:rPr>
            <w:rStyle w:val="Hyperlink"/>
            <w:rFonts w:asciiTheme="minorHAnsi" w:hAnsiTheme="minorHAnsi"/>
          </w:rPr>
          <w:t xml:space="preserve"> a Serologic Weak D Phenotype.</w:t>
        </w:r>
      </w:hyperlink>
    </w:p>
    <w:p w:rsidRPr="008B48D1" w:rsidR="008B48D1" w:rsidP="008B48D1" w:rsidRDefault="008B48D1" w14:paraId="7D7C7991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Transfusion. 2015. </w:t>
      </w:r>
      <w:proofErr w:type="spellStart"/>
      <w:r w:rsidRPr="008B48D1">
        <w:rPr>
          <w:rFonts w:asciiTheme="minorHAnsi" w:hAnsiTheme="minorHAnsi"/>
        </w:rPr>
        <w:t>Kacker</w:t>
      </w:r>
      <w:proofErr w:type="spellEnd"/>
      <w:r w:rsidRPr="008B48D1">
        <w:rPr>
          <w:rFonts w:asciiTheme="minorHAnsi" w:hAnsiTheme="minorHAnsi"/>
        </w:rPr>
        <w:t xml:space="preserve"> S, Vassallo R, Keller MA, et al.</w:t>
      </w:r>
    </w:p>
    <w:p w:rsidRPr="008B48D1" w:rsidR="008B48D1" w:rsidP="008B48D1" w:rsidRDefault="008B48D1" w14:paraId="5332C891" w14:textId="5B97854B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4.</w:t>
      </w:r>
      <w:r>
        <w:rPr>
          <w:rFonts w:asciiTheme="minorHAnsi" w:hAnsiTheme="minorHAnsi"/>
        </w:rPr>
        <w:t xml:space="preserve"> </w:t>
      </w:r>
      <w:hyperlink w:tgtFrame="_blank" w:history="1" r:id="rId8">
        <w:r w:rsidRPr="008B48D1">
          <w:rPr>
            <w:rStyle w:val="Hyperlink"/>
            <w:rFonts w:asciiTheme="minorHAnsi" w:hAnsiTheme="minorHAnsi"/>
          </w:rPr>
          <w:t>Estimating the Cost of Rh Testing and Prophylaxis in Early Pregnancy: A Time-Driven Activity-Based Costing Study.</w:t>
        </w:r>
      </w:hyperlink>
    </w:p>
    <w:p w:rsidRPr="008B48D1" w:rsidR="008B48D1" w:rsidP="008B48D1" w:rsidRDefault="008B48D1" w14:paraId="5E455491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Contraception. 2024. Gilmore EV, Russell LB, Harvie HS, Schreiber CA.</w:t>
      </w:r>
    </w:p>
    <w:p w:rsidRPr="008B48D1" w:rsidR="008B48D1" w:rsidP="008B48D1" w:rsidRDefault="008B48D1" w14:paraId="78A54B6A" w14:textId="0A73CDDF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5.</w:t>
      </w:r>
      <w:r>
        <w:rPr>
          <w:rFonts w:asciiTheme="minorHAnsi" w:hAnsiTheme="minorHAnsi"/>
        </w:rPr>
        <w:t xml:space="preserve"> </w:t>
      </w:r>
      <w:hyperlink w:tgtFrame="_blank" w:history="1" r:id="rId9">
        <w:r w:rsidRPr="008B48D1">
          <w:rPr>
            <w:rStyle w:val="Hyperlink"/>
            <w:rFonts w:asciiTheme="minorHAnsi" w:hAnsiTheme="minorHAnsi"/>
          </w:rPr>
          <w:t xml:space="preserve">RHD Genotyping to Resolve Weak and Discrepant </w:t>
        </w:r>
        <w:proofErr w:type="spellStart"/>
        <w:r w:rsidRPr="008B48D1">
          <w:rPr>
            <w:rStyle w:val="Hyperlink"/>
            <w:rFonts w:asciiTheme="minorHAnsi" w:hAnsiTheme="minorHAnsi"/>
          </w:rPr>
          <w:t>RhD</w:t>
        </w:r>
        <w:proofErr w:type="spellEnd"/>
        <w:r w:rsidRPr="008B48D1">
          <w:rPr>
            <w:rStyle w:val="Hyperlink"/>
            <w:rFonts w:asciiTheme="minorHAnsi" w:hAnsiTheme="minorHAnsi"/>
          </w:rPr>
          <w:t xml:space="preserve"> Patient Phenotypes.</w:t>
        </w:r>
      </w:hyperlink>
    </w:p>
    <w:p w:rsidRPr="008B48D1" w:rsidR="008B48D1" w:rsidP="008B48D1" w:rsidRDefault="008B48D1" w14:paraId="784B1B43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lastRenderedPageBreak/>
        <w:t xml:space="preserve">Transfusion. 2022. Barriteau CM, Lindholm PF, Hartman K, </w:t>
      </w:r>
      <w:proofErr w:type="spellStart"/>
      <w:r w:rsidRPr="008B48D1">
        <w:rPr>
          <w:rFonts w:asciiTheme="minorHAnsi" w:hAnsiTheme="minorHAnsi"/>
        </w:rPr>
        <w:t>Sumugod</w:t>
      </w:r>
      <w:proofErr w:type="spellEnd"/>
      <w:r w:rsidRPr="008B48D1">
        <w:rPr>
          <w:rFonts w:asciiTheme="minorHAnsi" w:hAnsiTheme="minorHAnsi"/>
        </w:rPr>
        <w:t xml:space="preserve"> RD, Ramsey G.</w:t>
      </w:r>
    </w:p>
    <w:p w:rsidRPr="008B48D1" w:rsidR="008B48D1" w:rsidP="008B48D1" w:rsidRDefault="008B48D1" w14:paraId="69DAB01E" w14:textId="7AE11956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>6.</w:t>
      </w:r>
      <w:r>
        <w:rPr>
          <w:rFonts w:asciiTheme="minorHAnsi" w:hAnsiTheme="minorHAnsi"/>
        </w:rPr>
        <w:t xml:space="preserve"> </w:t>
      </w:r>
      <w:hyperlink w:tgtFrame="_blank" w:history="1" r:id="rId10">
        <w:r w:rsidRPr="008B48D1">
          <w:rPr>
            <w:rStyle w:val="Hyperlink"/>
            <w:rFonts w:asciiTheme="minorHAnsi" w:hAnsiTheme="minorHAnsi"/>
          </w:rPr>
          <w:t xml:space="preserve">It's Time to Phase in RHD Genotyping for Patients </w:t>
        </w:r>
        <w:proofErr w:type="gramStart"/>
        <w:r w:rsidRPr="008B48D1">
          <w:rPr>
            <w:rStyle w:val="Hyperlink"/>
            <w:rFonts w:asciiTheme="minorHAnsi" w:hAnsiTheme="minorHAnsi"/>
          </w:rPr>
          <w:t>With</w:t>
        </w:r>
        <w:proofErr w:type="gramEnd"/>
        <w:r w:rsidRPr="008B48D1">
          <w:rPr>
            <w:rStyle w:val="Hyperlink"/>
            <w:rFonts w:asciiTheme="minorHAnsi" w:hAnsiTheme="minorHAnsi"/>
          </w:rPr>
          <w:t xml:space="preserve"> a Serologic Weak D Phenotype. College of American Pathologists Transfusion Medicine Resource Committee Work Group.</w:t>
        </w:r>
      </w:hyperlink>
    </w:p>
    <w:p w:rsidRPr="008B48D1" w:rsidR="008B48D1" w:rsidP="008B48D1" w:rsidRDefault="008B48D1" w14:paraId="05A36C8F" w14:textId="77777777">
      <w:pPr>
        <w:rPr>
          <w:rFonts w:asciiTheme="minorHAnsi" w:hAnsiTheme="minorHAnsi"/>
        </w:rPr>
      </w:pPr>
      <w:r w:rsidRPr="008B48D1">
        <w:rPr>
          <w:rFonts w:asciiTheme="minorHAnsi" w:hAnsiTheme="minorHAnsi"/>
        </w:rPr>
        <w:t xml:space="preserve">Transfusion. 2015. Sandler SG, Flegel WA, Westhoff CM, et </w:t>
      </w:r>
      <w:proofErr w:type="spellStart"/>
      <w:proofErr w:type="gramStart"/>
      <w:r w:rsidRPr="008B48D1">
        <w:rPr>
          <w:rFonts w:asciiTheme="minorHAnsi" w:hAnsiTheme="minorHAnsi"/>
        </w:rPr>
        <w:t>al.Guideline</w:t>
      </w:r>
      <w:proofErr w:type="spellEnd"/>
      <w:proofErr w:type="gramEnd"/>
    </w:p>
    <w:p w:rsidRPr="006E7FD3" w:rsidR="008B48D1" w:rsidP="1175A982" w:rsidRDefault="008B48D1" w14:paraId="21920E85" w14:textId="77777777">
      <w:pPr>
        <w:rPr>
          <w:rFonts w:ascii="Aptos" w:hAnsi="Aptos" w:asciiTheme="minorAscii" w:hAnsiTheme="minorAscii"/>
        </w:rPr>
      </w:pPr>
    </w:p>
    <w:p w:rsidR="6BF1A971" w:rsidP="1175A982" w:rsidRDefault="6BF1A971" w14:paraId="41872213" w14:textId="087BA2B2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175A982" w:rsidR="6BF1A971">
        <w:rPr>
          <w:rFonts w:ascii="Aptos" w:hAnsi="Aptos" w:asciiTheme="minorAscii" w:hAnsiTheme="minorAscii"/>
        </w:rPr>
        <w:t>Topic raised: June 2026</w:t>
      </w:r>
    </w:p>
    <w:p w:rsidR="6BF1A971" w:rsidP="1175A982" w:rsidRDefault="6BF1A971" w14:paraId="527631A7" w14:textId="1B16146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175A982" w:rsidR="6BF1A971">
        <w:rPr>
          <w:rFonts w:ascii="Aptos" w:hAnsi="Aptos" w:asciiTheme="minorAscii" w:hAnsiTheme="minorAscii"/>
        </w:rPr>
        <w:t>Document created: June 2026</w:t>
      </w:r>
    </w:p>
    <w:p w:rsidR="6BF1A971" w:rsidP="1175A982" w:rsidRDefault="6BF1A971" w14:paraId="06C70D95" w14:textId="7EF88E7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175A982" w:rsidR="6BF1A971">
        <w:rPr>
          <w:rFonts w:ascii="Aptos" w:hAnsi="Aptos" w:asciiTheme="minorAscii" w:hAnsiTheme="minorAscii"/>
        </w:rPr>
        <w:t xml:space="preserve">WHA QI Committee </w:t>
      </w:r>
      <w:r w:rsidRPr="1175A982" w:rsidR="6BF1A971">
        <w:rPr>
          <w:rFonts w:ascii="Aptos" w:hAnsi="Aptos" w:asciiTheme="minorAscii" w:hAnsiTheme="minorAscii"/>
        </w:rPr>
        <w:t>endosed</w:t>
      </w:r>
      <w:r w:rsidRPr="1175A982" w:rsidR="6BF1A971">
        <w:rPr>
          <w:rFonts w:ascii="Aptos" w:hAnsi="Aptos" w:asciiTheme="minorAscii" w:hAnsiTheme="minorAscii"/>
        </w:rPr>
        <w:t>: July 2026</w:t>
      </w:r>
    </w:p>
    <w:sectPr w:rsidRPr="006E7FD3" w:rsidR="008B48D1">
      <w:type w:val="continuous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430CD"/>
    <w:multiLevelType w:val="hybridMultilevel"/>
    <w:tmpl w:val="CFC20426"/>
    <w:lvl w:ilvl="0" w:tplc="9F0620C8">
      <w:start w:val="1"/>
      <w:numFmt w:val="bullet"/>
      <w:lvlText w:val="●"/>
      <w:lvlJc w:val="left"/>
      <w:pPr>
        <w:ind w:left="720" w:hanging="360"/>
      </w:pPr>
    </w:lvl>
    <w:lvl w:ilvl="1" w:tplc="2430AE42">
      <w:start w:val="1"/>
      <w:numFmt w:val="bullet"/>
      <w:lvlText w:val="○"/>
      <w:lvlJc w:val="left"/>
      <w:pPr>
        <w:ind w:left="1440" w:hanging="360"/>
      </w:pPr>
    </w:lvl>
    <w:lvl w:ilvl="2" w:tplc="A38CBA50">
      <w:start w:val="1"/>
      <w:numFmt w:val="bullet"/>
      <w:lvlText w:val="■"/>
      <w:lvlJc w:val="left"/>
      <w:pPr>
        <w:ind w:left="2160" w:hanging="360"/>
      </w:pPr>
    </w:lvl>
    <w:lvl w:ilvl="3" w:tplc="2CD43594">
      <w:start w:val="1"/>
      <w:numFmt w:val="bullet"/>
      <w:lvlText w:val="●"/>
      <w:lvlJc w:val="left"/>
      <w:pPr>
        <w:ind w:left="2880" w:hanging="360"/>
      </w:pPr>
    </w:lvl>
    <w:lvl w:ilvl="4" w:tplc="E6226776">
      <w:start w:val="1"/>
      <w:numFmt w:val="bullet"/>
      <w:lvlText w:val="○"/>
      <w:lvlJc w:val="left"/>
      <w:pPr>
        <w:ind w:left="3600" w:hanging="360"/>
      </w:pPr>
    </w:lvl>
    <w:lvl w:ilvl="5" w:tplc="A7E0AC14">
      <w:start w:val="1"/>
      <w:numFmt w:val="bullet"/>
      <w:lvlText w:val="■"/>
      <w:lvlJc w:val="left"/>
      <w:pPr>
        <w:ind w:left="4320" w:hanging="360"/>
      </w:pPr>
    </w:lvl>
    <w:lvl w:ilvl="6" w:tplc="314EF45C">
      <w:start w:val="1"/>
      <w:numFmt w:val="bullet"/>
      <w:lvlText w:val="●"/>
      <w:lvlJc w:val="left"/>
      <w:pPr>
        <w:ind w:left="5040" w:hanging="360"/>
      </w:pPr>
    </w:lvl>
    <w:lvl w:ilvl="7" w:tplc="03A87E4A">
      <w:start w:val="1"/>
      <w:numFmt w:val="bullet"/>
      <w:lvlText w:val="●"/>
      <w:lvlJc w:val="left"/>
      <w:pPr>
        <w:ind w:left="5760" w:hanging="360"/>
      </w:pPr>
    </w:lvl>
    <w:lvl w:ilvl="8" w:tplc="57D04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37E9E"/>
    <w:multiLevelType w:val="hybridMultilevel"/>
    <w:tmpl w:val="96C822BC"/>
    <w:lvl w:ilvl="0" w:tplc="E8F6C36C">
      <w:start w:val="1"/>
      <w:numFmt w:val="decimal"/>
      <w:lvlText w:val="%1."/>
      <w:lvlJc w:val="left"/>
      <w:pPr>
        <w:ind w:left="720" w:hanging="360"/>
      </w:pPr>
    </w:lvl>
    <w:lvl w:ilvl="1" w:tplc="7B666F6C">
      <w:numFmt w:val="decimal"/>
      <w:lvlText w:val=""/>
      <w:lvlJc w:val="left"/>
    </w:lvl>
    <w:lvl w:ilvl="2" w:tplc="115C5470">
      <w:numFmt w:val="decimal"/>
      <w:lvlText w:val=""/>
      <w:lvlJc w:val="left"/>
    </w:lvl>
    <w:lvl w:ilvl="3" w:tplc="CF5EEB08">
      <w:numFmt w:val="decimal"/>
      <w:lvlText w:val=""/>
      <w:lvlJc w:val="left"/>
    </w:lvl>
    <w:lvl w:ilvl="4" w:tplc="4CE209C2">
      <w:numFmt w:val="decimal"/>
      <w:lvlText w:val=""/>
      <w:lvlJc w:val="left"/>
    </w:lvl>
    <w:lvl w:ilvl="5" w:tplc="A9FA562C">
      <w:numFmt w:val="decimal"/>
      <w:lvlText w:val=""/>
      <w:lvlJc w:val="left"/>
    </w:lvl>
    <w:lvl w:ilvl="6" w:tplc="428438C0">
      <w:numFmt w:val="decimal"/>
      <w:lvlText w:val=""/>
      <w:lvlJc w:val="left"/>
    </w:lvl>
    <w:lvl w:ilvl="7" w:tplc="7BFABB46">
      <w:numFmt w:val="decimal"/>
      <w:lvlText w:val=""/>
      <w:lvlJc w:val="left"/>
    </w:lvl>
    <w:lvl w:ilvl="8" w:tplc="E61A21FC">
      <w:numFmt w:val="decimal"/>
      <w:lvlText w:val=""/>
      <w:lvlJc w:val="left"/>
    </w:lvl>
  </w:abstractNum>
  <w:num w:numId="1" w16cid:durableId="600648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1F1"/>
    <w:rsid w:val="00000000"/>
    <w:rsid w:val="00154BEF"/>
    <w:rsid w:val="005C41F1"/>
    <w:rsid w:val="006E7FD3"/>
    <w:rsid w:val="008B48D1"/>
    <w:rsid w:val="00BD6790"/>
    <w:rsid w:val="04836851"/>
    <w:rsid w:val="1175A982"/>
    <w:rsid w:val="165C7C2A"/>
    <w:rsid w:val="1A5832DF"/>
    <w:rsid w:val="1CE13A51"/>
    <w:rsid w:val="29DF46E1"/>
    <w:rsid w:val="3182DD49"/>
    <w:rsid w:val="379436C8"/>
    <w:rsid w:val="3A92A1E1"/>
    <w:rsid w:val="3FFDB631"/>
    <w:rsid w:val="5ACC4E07"/>
    <w:rsid w:val="6511456F"/>
    <w:rsid w:val="67A73A57"/>
    <w:rsid w:val="68F8F8D7"/>
    <w:rsid w:val="6A2DB451"/>
    <w:rsid w:val="6BF1A971"/>
    <w:rsid w:val="6E863CFF"/>
    <w:rsid w:val="6F383BDC"/>
    <w:rsid w:val="78318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FEB2"/>
  <w15:docId w15:val="{1E5CD214-D8B9-474D-9B80-14E131A3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480" w:after="2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4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320" w:after="16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80" w:after="120"/>
      <w:outlineLvl w:val="3"/>
    </w:pPr>
    <w:rPr>
      <w:b/>
      <w:bCs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100"/>
      <w:outlineLvl w:val="4"/>
    </w:pPr>
    <w:rPr>
      <w:b/>
      <w:bCs/>
      <w:i/>
      <w:i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00" w:after="80"/>
      <w:outlineLvl w:val="5"/>
    </w:pPr>
    <w:rPr>
      <w:b/>
      <w:bCs/>
      <w:i/>
      <w:iCs/>
      <w:color w:val="000000"/>
      <w:sz w:val="22"/>
      <w:szCs w:val="2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Strong1" w:customStyle="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qFormat/>
    <w:rPr>
      <w:b w:val="0"/>
      <w:bCs w:val="0"/>
      <w:color w:val="0000FF"/>
      <w:sz w:val="24"/>
      <w:szCs w:val="24"/>
      <w:u w:val="single" w:color="0000F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48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8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8648923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258080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97/AOG.000000000000252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97/AOG.0000000000002232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pubmed.ncbi.nlm.nih.gov/254386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36218305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001AFB2A05B84C931154E4DA7B00C7" ma:contentTypeVersion="4" ma:contentTypeDescription="Create a new document." ma:contentTypeScope="" ma:versionID="63c38037acec81c2ff30de1d65199b1e">
  <xsd:schema xmlns:xsd="http://www.w3.org/2001/XMLSchema" xmlns:xs="http://www.w3.org/2001/XMLSchema" xmlns:p="http://schemas.microsoft.com/office/2006/metadata/properties" xmlns:ns2="442ccdc4-b561-4efb-a3d0-9a13ebf6bd2f" targetNamespace="http://schemas.microsoft.com/office/2006/metadata/properties" ma:root="true" ma:fieldsID="212623360f1a29c52f6452286d135e0b" ns2:_="">
    <xsd:import namespace="442ccdc4-b561-4efb-a3d0-9a13ebf6bd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2ccdc4-b561-4efb-a3d0-9a13ebf6bd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288002-4777-4671-A7B7-C4BDF1B90ACB}"/>
</file>

<file path=customXml/itemProps2.xml><?xml version="1.0" encoding="utf-8"?>
<ds:datastoreItem xmlns:ds="http://schemas.openxmlformats.org/officeDocument/2006/customXml" ds:itemID="{8C49A97D-45AA-4550-8AAF-603856A1C4CF}"/>
</file>

<file path=customXml/itemProps3.xml><?xml version="1.0" encoding="utf-8"?>
<ds:datastoreItem xmlns:ds="http://schemas.openxmlformats.org/officeDocument/2006/customXml" ds:itemID="{BFA5B0DB-A100-4316-96B4-0581C5EF55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Gary Burgoine</cp:lastModifiedBy>
  <cp:revision>4</cp:revision>
  <dcterms:created xsi:type="dcterms:W3CDTF">2026-07-03T23:38:00Z</dcterms:created>
  <dcterms:modified xsi:type="dcterms:W3CDTF">2026-07-23T18:50:03Z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0x010100B3001AFB2A05B84C931154E4DA7B00C7</vt:lpwstr>
  </property>
</Properties>
</file>