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PRÉ-PROJETO 202</w:t>
            </w:r>
            <w:r>
              <w:rPr>
                <w:rFonts w:cs="Arial" w:ascii="Arial" w:hAnsi="Arial"/>
                <w:b/>
                <w:bCs/>
                <w:sz w:val="24"/>
                <w:szCs w:val="24"/>
                <w:lang w:val="pt-PT"/>
              </w:rPr>
              <w:t>4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NOME: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MARIELI IRENE TEIXEIRA WAIDEMAN</w:t>
            </w:r>
            <w:r>
              <w:rPr>
                <w:rFonts w:cs="Arial" w:ascii="Arial" w:hAnsi="Arial"/>
                <w:sz w:val="24"/>
                <w:szCs w:val="24"/>
              </w:rPr>
              <w:t xml:space="preserve">                                            Nº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19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TELEFONE: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(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45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)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98433-5791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E-MAIL:  </w:t>
            </w: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color w:val="1F1F1F"/>
                <w:spacing w:val="0"/>
                <w:sz w:val="24"/>
                <w:szCs w:val="24"/>
              </w:rPr>
              <w:t>marieli.waideman@escola.pr.gov.br</w:t>
            </w:r>
            <w:r>
              <w:rPr>
                <w:rFonts w:cs="Arial" w:ascii="Arial" w:hAnsi="Arial"/>
                <w:sz w:val="24"/>
                <w:szCs w:val="24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CURSO: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Análise e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TURMA: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>2 semestre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160"/>
              <w:ind w:left="0" w:right="0" w:firstLine="567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Com a constante evolução tecnológica, muitas ferramentas acabam ficando obsoletas em uma velocidade cada vez mais rápida – e essa realidade não é diferente no mercado de e-commerce. Para se destacarem em meio à concorrência, as plataformas de e-commerce necessitam constantemente de manutenções, a partir disso, muitos talentos acabam ficando escondidos em meio a sistemas que se tornam irrelevantes e que não apresentam nenhum diferencial.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360" w:before="0" w:after="160"/>
              <w:ind w:left="0" w:right="0" w:firstLine="56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firstLine="567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Apesar de ser tratado como tabu por muito tempo, é inegável o quanto o mercado de tatuagem se expandiu nos últimos anos e a proporção que esse mercado representa para a economia do nosso país; existe uma expectativa de faturamento na casa de 2 bilhões de reais para 2024 no Brasil. De acordo com um levantamento realizado pelo Sebrae em 2023, o mercado de tatuagens e piercings teve um crescimento de 35% nos últimos 4 anos – foram abertos mais de 2 mil estúdios no primeiro trimestre do mesmo ano.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firstLine="56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Nesse contexto, o projeto de um e-commerce voltado para estúdios de tatuagem surge como uma proposta inovadora. A ideia é criar uma plataforma específica que permita aos usuários solicitar orçamentos detalhados, baseados em especificações como tamanho, local e estilo da arte, e entrar em contato com tatuadores disponíveis. Esse projeto visa preencher uma lacuna no mercado, destacando-se por sua especialização e capacidade de conectar clientes e tatuadores de forma eficiente e personalizada. 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360" w:before="0" w:after="160"/>
              <w:ind w:left="0" w:right="0" w:firstLine="624"/>
              <w:jc w:val="left"/>
              <w:rPr/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O objetivo principal deste projeto é </w:t>
            </w: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desenvolver um site funcional, intuitivo e responsivo para </w:t>
            </w: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preencher a lacuna de falta de acessibilidade à tatuadores de diversos locais, mantendo centralizado diversos estilos, faixas de valores diferentes e acesso a diversos profissionais confiáveis disponíveis no mercado </w:t>
            </w: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 xml:space="preserve"> – tornando o agendamento fácil e entregando sempre o resultado esperado ao cliente. A partir do momento do agendamento, o cliente já terá acesso ao estilo desejado, orçamento que cabe no bolso e poderá negociar com calma a arte que melhor atenda às suas necessidades.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360" w:before="0" w:after="160"/>
              <w:ind w:left="0" w:right="0" w:firstLine="680"/>
              <w:jc w:val="left"/>
              <w:rPr>
                <w:rFonts w:ascii="Arial" w:hAnsi="Arial" w:eastAsia="Calibri" w:cs="Arial"/>
                <w:sz w:val="24"/>
                <w:szCs w:val="24"/>
                <w:lang w:eastAsia="pt-BR"/>
              </w:rPr>
            </w:pPr>
            <w:r>
              <w:rPr>
                <w:rFonts w:eastAsia="Calibri" w:cs="Arial" w:ascii="Arial" w:hAnsi="Arial"/>
                <w:sz w:val="24"/>
                <w:szCs w:val="24"/>
                <w:lang w:eastAsia="pt-BR"/>
              </w:rPr>
              <w:t>O objetivo específico é centralizar parte deste mercado (que hoje atua praticamente em sua totalidade por meio de redes sociais, como: Instagram e Facebook), de maneira que mantenha uma agenda organizada para o profissional, entregue uma resposta rápida para o usuário e disponibilize sempre os horários disponíveis, além de ser utilizado como uma rede para publicação de portfólio para os tatuadores – tornando fácil a visibilidade do trabalho dos mesmos. Trata-se de conectar o mercado com seu consumidor final, de forma fácil e ágil – com um processo de cadastro, os usuários terão acesso à todas as ferramentas.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firstLine="567"/>
              <w:jc w:val="both"/>
              <w:rPr/>
            </w:pP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A metodologia do projeto são um c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onjunto de métodos, técnicas e processos aplicados pela ciência para identificar e solucionar problemas de forma sistemática, visando a obtenção de conhecimento de maneira objetiva </w:t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(RODRIGUES, 2007).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2268" w:right="0" w:hanging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M</w:t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etodologia científica denota a forma de conhecer que é própria da ciência. A metodologia científica diferencia-se enquanto concepção educacional de ciência de dois modos: o modo interno, concernente ao debate em torno de concepções metodológicas, e o modo externo, relacionado com a distinção entre ciência e não ciência. </w:t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(ALEXANDRE, 2021, </w:t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p. 20 - 21</w:t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)</w:t>
            </w: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 </w:t>
              <w:tab/>
            </w:r>
          </w:p>
          <w:p>
            <w:pPr>
              <w:pStyle w:val="Corpodotexto"/>
              <w:widowControl w:val="false"/>
              <w:bidi w:val="0"/>
              <w:spacing w:lineRule="auto" w:line="360" w:before="0" w:after="140"/>
              <w:ind w:left="0" w:right="0" w:firstLine="567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bookmarkStart w:id="0" w:name="docs-internal-guid-89b7149e-7fff-8020-01"/>
            <w:bookmarkEnd w:id="0"/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O presente trabalho foi construído a partir de várias metodologias, como: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pBdr/>
              <w:bidi w:val="0"/>
              <w:spacing w:lineRule="auto" w:line="360" w:before="0" w:after="0"/>
              <w:ind w:left="0" w:right="0" w:firstLine="567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Trabalhos de pesquisas nos livros e sites fornecidos pela instituição, nas aulas teóricas.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pBdr/>
              <w:bidi w:val="0"/>
              <w:spacing w:lineRule="auto" w:line="360" w:before="0" w:after="0"/>
              <w:ind w:left="0" w:right="0" w:firstLine="567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A metodologia de análise dos clientes foi feita através de questionários, onde uma amostra foi coletada para o banco de dados do negócio.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pBdr/>
              <w:bidi w:val="0"/>
              <w:spacing w:lineRule="auto" w:line="360" w:before="0" w:after="0"/>
              <w:ind w:left="0" w:right="0" w:firstLine="567"/>
              <w:jc w:val="both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Enquanto a análise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dos prestadores de serviço se deu por meio de contato direto com tatuadores na cidade de Cascavel-PR, através de questionários e entrevistas.</w:t>
            </w:r>
          </w:p>
          <w:p>
            <w:pPr>
              <w:pStyle w:val="Normal"/>
              <w:widowControl w:val="false"/>
              <w:bidi w:val="0"/>
              <w:spacing w:lineRule="auto" w:line="360" w:before="0" w:after="160"/>
              <w:ind w:left="0" w:right="0" w:hanging="0"/>
              <w:jc w:val="both"/>
              <w:rPr>
                <w:rFonts w:cs="Arial"/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rPr/>
            </w:pPr>
            <w:r>
              <w:rPr>
                <w:rStyle w:val="LinkdaInternet"/>
                <w:rFonts w:ascii="Arial" w:hAnsi="Arial"/>
                <w:color w:val="000000"/>
                <w:sz w:val="24"/>
                <w:szCs w:val="24"/>
                <w:u w:val="none"/>
              </w:rPr>
              <w:t>POLITI, Laís. Mais de 2 mil estúdios de tatuagens foram abertos no Brasil só no primeiro trimestre deste ano, diz Sebrae.</w:t>
            </w:r>
            <w:r>
              <w:rPr>
                <w:rStyle w:val="LinkdaInternet"/>
                <w:rFonts w:ascii="Arial" w:hAnsi="Arial"/>
                <w:color w:val="000000"/>
                <w:sz w:val="24"/>
                <w:szCs w:val="24"/>
                <w:u w:val="none"/>
              </w:rPr>
              <w:t> </w:t>
            </w:r>
            <w:r>
              <w:rPr>
                <w:rStyle w:val="Nfaseforte"/>
                <w:rFonts w:ascii="Arial" w:hAnsi="Arial"/>
                <w:color w:val="000000"/>
                <w:sz w:val="24"/>
                <w:szCs w:val="24"/>
                <w:u w:val="none"/>
              </w:rPr>
              <w:t>G1. </w:t>
            </w:r>
            <w:r>
              <w:rPr>
                <w:rStyle w:val="LinkdaInternet"/>
                <w:rFonts w:ascii="Arial" w:hAnsi="Arial"/>
                <w:color w:val="000000"/>
                <w:sz w:val="24"/>
                <w:szCs w:val="24"/>
                <w:u w:val="none"/>
              </w:rPr>
              <w:t xml:space="preserve">Belo Horizonte, p. 1-1. 17 jul. 2023. Disponível em: https://g1.globo.com/mg/minas-gerais/noticia/2023/07/17/mais-de-2-mil-estudios-de-tatuagens-foram-abertos-no-brasil-so-no-primeiro-trimestre-deste-ano-diz-sebrae.ghtml. Acesso em: 29 jul. 2024. </w:t>
            </w:r>
          </w:p>
          <w:p>
            <w:pPr>
              <w:pStyle w:val="Normal"/>
              <w:bidi w:val="0"/>
              <w:spacing w:lineRule="auto" w:line="360"/>
              <w:jc w:val="both"/>
              <w:rPr>
                <w:rStyle w:val="LinkdaInternet"/>
                <w:rFonts w:ascii="Arial" w:hAnsi="Arial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rPr/>
            </w:pPr>
            <w:r>
              <w:rPr>
                <w:rStyle w:val="LinkdaInternet"/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TALGE. </w:t>
            </w:r>
            <w:r>
              <w:rPr>
                <w:rStyle w:val="Nfaseforte"/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>Mercado de Tatuagem no Brasil</w:t>
            </w:r>
            <w:r>
              <w:rPr>
                <w:rStyle w:val="LinkdaInternet"/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. Disponível em: </w:t>
            </w:r>
            <w:r>
              <w:rPr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>https://talge.com.br/blog/mercado-de-tatuagem-no-brasil/#:~:text=Segundo%20a%20AB</w:t>
            </w:r>
            <w:r>
              <w:rPr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>%20%E2%80%93%20Associa%C3%A7%C3%A3o%20Brasileira,15%25%20em%20compara%C3%A7%C3%A3o%20a%202023.</w:t>
            </w:r>
            <w:r>
              <w:rPr>
                <w:rStyle w:val="LinkdaInternet"/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 Acesso em: 29 jul. 2024.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rPr>
                <w:rStyle w:val="LinkdaInternet"/>
                <w:rFonts w:ascii="Arial" w:hAnsi="Arial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rPr/>
            </w:pPr>
            <w:r>
              <w:rPr>
                <w:rStyle w:val="LinkdaInternet"/>
                <w:rFonts w:ascii="Arial" w:hAnsi="Arial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 xml:space="preserve">RODRIGUES, William Costa. </w:t>
            </w:r>
            <w:r>
              <w:rPr>
                <w:rStyle w:val="Nfaseforte"/>
                <w:rFonts w:ascii="Arial" w:hAnsi="Arial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>Metodologia Científica</w:t>
            </w:r>
            <w:r>
              <w:rPr>
                <w:rStyle w:val="LinkdaInternet"/>
                <w:rFonts w:ascii="Arial" w:hAnsi="Arial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>.</w:t>
            </w:r>
            <w:r>
              <w:rPr>
                <w:rStyle w:val="LinkdaInternet"/>
                <w:rFonts w:ascii="Arial" w:hAnsi="Arial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 xml:space="preserve"> Paracambi: Faetec/Ist, 2007. 20 p. Disponível em: https://d1wqtxts1xzle7.cloudfront.net/57025162/Willian_Costa_Rodrigues_metodologia_cientifica-libre.pdf?1531956817=&amp;response-content-disposition=inline%3B+filename%3DMetodologia_Cientifica.pdf&amp;Expires=1723507493&amp;Signature=F8JeZlqlX9V70NnVS05AWPFhzP0ab0x491BwEGDqfrNHs8auL9RsawkhuXIGMWlf8tV-O1dIam9qHuhYCJAEC77uX0sTb0ZXhIfSxxwezjppF8Becl57WbUGkuA~6XPfozTcoN1LmKYcVx0Rmo0Z636q9AX-ycDXs6-yVbJihZ-yEegEUVjtAEC6YI3ddQKrMuSd-fp88AM8sTiUHgb2-UJENzoNd7sNcRPkvxkkQXMA8DdPR94ymoRvMXeIWXiy9AYtVZPi1rsvb6VvE-Tm04dl~D2aCmyvcC4T20AUIZz4I2hqa7JSVcPulY01GYBuPy3U-dMUC75zGBHku3izBw__&amp;Key-Pair-Id=APKAJLOHF5GGSLRBV4ZA. Acesso em: 12 ago. 2024.</w:t>
            </w:r>
            <w:r>
              <w:rPr>
                <w:rStyle w:val="LinkdaInternet"/>
                <w:rFonts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both"/>
              <w:rPr>
                <w:rStyle w:val="LinkdaInternet"/>
                <w:rFonts w:ascii="Arial" w:hAnsi="Arial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360" w:before="0" w:after="240"/>
              <w:ind w:left="0" w:right="0" w:hanging="0"/>
              <w:jc w:val="both"/>
              <w:rPr/>
            </w:pPr>
            <w:r>
              <w:rPr>
                <w:rStyle w:val="LinkdaInternet"/>
                <w:rFonts w:cs="Arial" w:ascii="Arial" w:hAnsi="Arial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A</w:t>
            </w:r>
            <w:r>
              <w:rPr>
                <w:rStyle w:val="LinkdaInternet"/>
                <w:rFonts w:cs="Arial" w:ascii="Arial" w:hAnsi="Arial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 xml:space="preserve">LEXANDRE, Agripa Faria. </w:t>
            </w:r>
            <w:r>
              <w:rPr>
                <w:rStyle w:val="Nfaseforte"/>
                <w:rFonts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>Metodologia Científica</w:t>
            </w:r>
            <w:r>
              <w:rPr>
                <w:rStyle w:val="LinkdaInternet"/>
                <w:rFonts w:cs="Arial" w:ascii="Arial" w:hAnsi="Arial"/>
                <w:b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>: princípios e fundamentos.</w:t>
            </w:r>
            <w:r>
              <w:rPr>
                <w:rStyle w:val="LinkdaInternet"/>
                <w:rFonts w:cs="Arial" w:ascii="Arial" w:hAnsi="Arial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sz w:val="24"/>
                <w:szCs w:val="24"/>
                <w:u w:val="none"/>
              </w:rPr>
              <w:t xml:space="preserve"> 3. ed. São Paulo: Blucher, 2021. 33 p. Disponível em: https://storage.blucher.com.br/book/pdf_preview/9786555062229-amostra.pdf. Acesso em: 12 ago. 2024.</w:t>
            </w:r>
            <w:r>
              <w:rPr>
                <w:rStyle w:val="LinkdaInternet"/>
                <w:rFonts w:cs="Arial" w:ascii="Arial" w:hAnsi="Arial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360" w:before="0" w:after="240"/>
              <w:ind w:left="0" w:right="0" w:hanging="0"/>
              <w:jc w:val="both"/>
              <w:rPr>
                <w:rStyle w:val="LinkdaInternet"/>
                <w:rFonts w:ascii="Arial" w:hAnsi="Arial" w:cs="Arial"/>
                <w:i w:val="false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5"/>
        <w:gridCol w:w="2485"/>
        <w:gridCol w:w="1745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978"/>
      <w:gridCol w:w="5528"/>
      <w:gridCol w:w="1555"/>
    </w:tblGrid>
    <w:tr>
      <w:trPr>
        <w:trHeight w:val="1550" w:hRule="atLeast"/>
      </w:trPr>
      <w:tc>
        <w:tcPr>
          <w:tcW w:w="1978" w:type="dxa"/>
          <w:tcBorders/>
          <w:shd w:fill="auto" w:val="clear"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8" r="-42" b="-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  <w:shd w:fill="auto" w:val="clear"/>
        </w:tcPr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Cabealho"/>
            <w:spacing w:lineRule="auto" w:line="240" w:before="0" w:after="0"/>
            <w:jc w:val="center"/>
            <w:rPr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Cabealho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5" w:type="dxa"/>
          <w:tcBorders/>
          <w:shd w:fill="auto" w:val="clear"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object>
              <v:shape id="ole_rId4" style="width:50.15pt;height:38.2pt" o:ole="">
                <v:imagedata r:id="rId5" o:title=""/>
              </v:shape>
              <o:OLEObject Type="Embed" ProgID="Word.Picture.8" ShapeID="ole_rId4" DrawAspect="Content" ObjectID="_123636163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60"/>
        </w:tabs>
        <w:ind w:left="1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20"/>
        </w:tabs>
        <w:ind w:left="1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40"/>
        </w:tabs>
        <w:ind w:left="2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00"/>
        </w:tabs>
        <w:ind w:left="2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20"/>
        </w:tabs>
        <w:ind w:left="3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80"/>
        </w:tabs>
        <w:ind w:left="36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ListLabel1">
    <w:name w:val="ListLabel 1"/>
    <w:qFormat/>
    <w:rPr>
      <w:rFonts w:ascii="Arial" w:hAnsi="Arial" w:cs="Courier New"/>
    </w:rPr>
  </w:style>
  <w:style w:type="character" w:styleId="ListLabel2">
    <w:name w:val="ListLabel 2"/>
    <w:qFormat/>
    <w:rPr>
      <w:rFonts w:ascii="Arial" w:hAnsi="Arial" w:cs="Arial"/>
      <w:color w:val="2D93EE"/>
    </w:rPr>
  </w:style>
  <w:style w:type="character" w:styleId="ListLabel3">
    <w:name w:val="ListLabel 3"/>
    <w:qFormat/>
    <w:rPr>
      <w:rFonts w:cs="Arial"/>
      <w:sz w:val="15"/>
      <w:szCs w:val="15"/>
    </w:rPr>
  </w:style>
  <w:style w:type="character" w:styleId="ListLabel4">
    <w:name w:val="ListLabel 4"/>
    <w:qFormat/>
    <w:rPr>
      <w:rFonts w:ascii="Arial" w:hAnsi="Arial" w:cs="Courier New"/>
    </w:rPr>
  </w:style>
  <w:style w:type="character" w:styleId="ListLabel5">
    <w:name w:val="ListLabel 5"/>
    <w:qFormat/>
    <w:rPr>
      <w:rFonts w:ascii="Arial" w:hAnsi="Arial" w:cs="Arial"/>
      <w:color w:val="2D93EE"/>
    </w:rPr>
  </w:style>
  <w:style w:type="character" w:styleId="ListLabel6">
    <w:name w:val="ListLabel 6"/>
    <w:qFormat/>
    <w:rPr>
      <w:rFonts w:cs="Arial"/>
      <w:sz w:val="15"/>
      <w:szCs w:val="15"/>
    </w:rPr>
  </w:style>
  <w:style w:type="character" w:styleId="ListLabel12">
    <w:name w:val="ListLabel 12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XLSX_Editor/6.2.8.2$Windows_x86 LibreOffice_project/</Application>
  <Pages>7</Pages>
  <Words>802</Words>
  <Characters>5532</Characters>
  <CharactersWithSpaces>6419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2024-08-12T21:12:28Z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