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C81010"/>
          <w:sz w:val="48"/>
        </w:rPr>
        <w:t>DUCATI BRUXELLES — ITALBIKE</w:t>
      </w:r>
    </w:p>
    <w:p>
      <w:pPr>
        <w:jc w:val="center"/>
      </w:pPr>
      <w:r>
        <w:rPr>
          <w:color w:val="1A1A1A"/>
          <w:sz w:val="28"/>
        </w:rPr>
        <w:t>DMS sur mesure — Compte rendu de développement</w:t>
      </w:r>
    </w:p>
    <w:p>
      <w:pPr>
        <w:jc w:val="center"/>
      </w:pPr>
      <w:r>
        <w:rPr>
          <w:i/>
          <w:color w:val="606060"/>
          <w:sz w:val="22"/>
        </w:rPr>
        <w:t>Lot de modifications &amp; upgrades du backlog client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304"/>
          </w:tcPr>
          <w:p>
            <w:r/>
            <w:r>
              <w:rPr>
                <w:b w:val="0"/>
                <w:sz w:val="19"/>
              </w:rPr>
              <w:t>Projet</w:t>
            </w:r>
          </w:p>
        </w:tc>
        <w:tc>
          <w:tcPr>
            <w:tcW w:type="dxa" w:w="6624"/>
          </w:tcPr>
          <w:p>
            <w:r/>
            <w:r>
              <w:rPr>
                <w:b w:val="0"/>
                <w:sz w:val="19"/>
              </w:rPr>
              <w:t>DMS Ducati Bruxelles (remplacement G8 / Futurosoft)</w:t>
            </w:r>
          </w:p>
        </w:tc>
      </w:tr>
      <w:tr>
        <w:tc>
          <w:tcPr>
            <w:tcW w:type="dxa" w:w="2304"/>
          </w:tcPr>
          <w:p>
            <w:r/>
            <w:r>
              <w:rPr>
                <w:b w:val="0"/>
                <w:sz w:val="19"/>
              </w:rPr>
              <w:t>Sociétés</w:t>
            </w:r>
          </w:p>
        </w:tc>
        <w:tc>
          <w:tcPr>
            <w:tcW w:type="dxa" w:w="6624"/>
          </w:tcPr>
          <w:p>
            <w:r/>
            <w:r>
              <w:rPr>
                <w:b w:val="0"/>
                <w:sz w:val="19"/>
              </w:rPr>
              <w:t>ITALBIKE STORE · NL INVEST</w:t>
            </w:r>
          </w:p>
        </w:tc>
      </w:tr>
      <w:tr>
        <w:tc>
          <w:tcPr>
            <w:tcW w:type="dxa" w:w="2304"/>
          </w:tcPr>
          <w:p>
            <w:r/>
            <w:r>
              <w:rPr>
                <w:b w:val="0"/>
                <w:sz w:val="19"/>
              </w:rPr>
              <w:t>Client</w:t>
            </w:r>
          </w:p>
        </w:tc>
        <w:tc>
          <w:tcPr>
            <w:tcW w:type="dxa" w:w="6624"/>
          </w:tcPr>
          <w:p>
            <w:r/>
            <w:r>
              <w:rPr>
                <w:b w:val="0"/>
                <w:sz w:val="19"/>
              </w:rPr>
              <w:t>Domenico Desouter — domenico@ducatibxl.be</w:t>
            </w:r>
          </w:p>
        </w:tc>
      </w:tr>
      <w:tr>
        <w:tc>
          <w:tcPr>
            <w:tcW w:type="dxa" w:w="2304"/>
          </w:tcPr>
          <w:p>
            <w:r/>
            <w:r>
              <w:rPr>
                <w:b w:val="0"/>
                <w:sz w:val="19"/>
              </w:rPr>
              <w:t>Dépôt</w:t>
            </w:r>
          </w:p>
        </w:tc>
        <w:tc>
          <w:tcPr>
            <w:tcW w:type="dxa" w:w="6624"/>
          </w:tcPr>
          <w:p>
            <w:r/>
            <w:r>
              <w:rPr>
                <w:b w:val="0"/>
                <w:sz w:val="19"/>
              </w:rPr>
              <w:t>github.com/the-maul/ducati-brussels-app</w:t>
            </w:r>
          </w:p>
        </w:tc>
      </w:tr>
      <w:tr>
        <w:tc>
          <w:tcPr>
            <w:tcW w:type="dxa" w:w="2304"/>
          </w:tcPr>
          <w:p>
            <w:r/>
            <w:r>
              <w:rPr>
                <w:b w:val="0"/>
                <w:sz w:val="19"/>
              </w:rPr>
              <w:t>Stack</w:t>
            </w:r>
          </w:p>
        </w:tc>
        <w:tc>
          <w:tcPr>
            <w:tcW w:type="dxa" w:w="6624"/>
          </w:tcPr>
          <w:p>
            <w:r/>
            <w:r>
              <w:rPr>
                <w:b w:val="0"/>
                <w:sz w:val="19"/>
              </w:rPr>
              <w:t>TanStack Start · React 19 · Supabase (PostgreSQL) · Netlify</w:t>
            </w:r>
          </w:p>
        </w:tc>
      </w:tr>
      <w:tr>
        <w:tc>
          <w:tcPr>
            <w:tcW w:type="dxa" w:w="2304"/>
          </w:tcPr>
          <w:p>
            <w:r/>
            <w:r>
              <w:rPr>
                <w:b w:val="0"/>
                <w:sz w:val="19"/>
              </w:rPr>
              <w:t>Date du rapport</w:t>
            </w:r>
          </w:p>
        </w:tc>
        <w:tc>
          <w:tcPr>
            <w:tcW w:type="dxa" w:w="6624"/>
          </w:tcPr>
          <w:p>
            <w:r/>
            <w:r>
              <w:rPr>
                <w:b w:val="0"/>
                <w:sz w:val="19"/>
              </w:rPr>
              <w:t>27/07/2026</w:t>
            </w:r>
          </w:p>
        </w:tc>
      </w:tr>
      <w:tr>
        <w:tc>
          <w:tcPr>
            <w:tcW w:type="dxa" w:w="2304"/>
          </w:tcPr>
          <w:p>
            <w:r/>
            <w:r>
              <w:rPr>
                <w:b w:val="0"/>
                <w:sz w:val="19"/>
              </w:rPr>
              <w:t>Statut</w:t>
            </w:r>
          </w:p>
        </w:tc>
        <w:tc>
          <w:tcPr>
            <w:tcW w:type="dxa" w:w="6624"/>
          </w:tcPr>
          <w:p>
            <w:r/>
            <w:r>
              <w:rPr>
                <w:b w:val="0"/>
                <w:sz w:val="19"/>
              </w:rPr>
              <w:t>Livré en Pull Requests — build validé, testé</w:t>
            </w:r>
          </w:p>
        </w:tc>
      </w:tr>
    </w:tbl>
    <w:p/>
    <w:p>
      <w:r>
        <w:rPr>
          <w:i/>
          <w:color w:val="606060"/>
          <w:sz w:val="21"/>
        </w:rPr>
        <w:t>Ce document retrace, pour chaque demande du client, le cheminement complet : document source → demande de modification/upgrade → ce qui a été réalisé et comment → vérification et état de fonctionnement.</w:t>
      </w:r>
    </w:p>
    <w:p>
      <w:r>
        <w:br w:type="page"/>
      </w:r>
    </w:p>
    <w:p>
      <w:pPr>
        <w:pBdr>
          <w:bottom w:val="single" w:sz="6" w:space="2" w:color="C81010"/>
        </w:pBdr>
      </w:pPr>
      <w:r>
        <w:rPr>
          <w:b/>
          <w:color w:val="C81010"/>
          <w:sz w:val="30"/>
        </w:rPr>
        <w:t>1. Méthode de travail</w:t>
      </w:r>
    </w:p>
    <w:p>
      <w:r>
        <w:rPr>
          <w:i w:val="0"/>
          <w:sz w:val="21"/>
        </w:rPr>
        <w:t>Chaque demande a suivi le même processus rigoureux, en quatre temps :</w:t>
      </w:r>
    </w:p>
    <w:p>
      <w:pPr>
        <w:pStyle w:val="ListBullet"/>
      </w:pPr>
      <w:r>
        <w:rPr>
          <w:sz w:val="20"/>
        </w:rPr>
        <w:t>Lecture du document source du client (specs départements, notes réseau, formulaires) pour vérifier la compréhension exacte du besoin.</w:t>
      </w:r>
    </w:p>
    <w:p>
      <w:pPr>
        <w:pStyle w:val="ListBullet"/>
      </w:pPr>
      <w:r>
        <w:rPr>
          <w:sz w:val="20"/>
        </w:rPr>
        <w:t>Cartographie sur le code existant (ce qui est déjà là vs. à créer).</w:t>
      </w:r>
    </w:p>
    <w:p>
      <w:pPr>
        <w:pStyle w:val="ListBullet"/>
      </w:pPr>
      <w:r>
        <w:rPr>
          <w:sz w:val="20"/>
        </w:rPr>
        <w:t>Implémentation, en respectant les règles du projet : interface et données en français, multi-société avec sécurité RLS, tables append-only pour le stock et les prix, charte graphique.</w:t>
      </w:r>
    </w:p>
    <w:p>
      <w:pPr>
        <w:pStyle w:val="ListBullet"/>
      </w:pPr>
      <w:r>
        <w:rPr>
          <w:sz w:val="20"/>
        </w:rPr>
        <w:t>Vérification : compilation (build) systématique, application des évolutions de base de données, et tests fonctionnels sur la base réelle.</w:t>
      </w:r>
    </w:p>
    <w:p>
      <w:r>
        <w:rPr>
          <w:i w:val="0"/>
          <w:sz w:val="20"/>
        </w:rPr>
        <w:t>Le travail est livré sous forme de Pull Requests (demandes de fusion) sur GitHub : rien n'est appliqué automatiquement en production, le client valide chaque lot. Une copie de sauvegarde figée du code initial a été créée avant toute intervention.</w:t>
      </w:r>
    </w:p>
    <w:p>
      <w:pPr>
        <w:pBdr>
          <w:bottom w:val="single" w:sz="6" w:space="2" w:color="C81010"/>
        </w:pBdr>
      </w:pPr>
      <w:r>
        <w:rPr>
          <w:b/>
          <w:color w:val="C81010"/>
          <w:sz w:val="30"/>
        </w:rPr>
        <w:t>2. Documents envoyés par le client</w:t>
      </w:r>
    </w:p>
    <w:p>
      <w:r>
        <w:rPr>
          <w:i w:val="0"/>
          <w:sz w:val="21"/>
        </w:rPr>
        <w:t>Les demandes proviennent des documents transmis par Domenico (missions des 13, 21 et 22 juillet) 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464"/>
            <w:shd w:val="clear" w:color="auto" w:fill="C81010"/>
          </w:tcPr>
          <w:p>
            <w:r/>
            <w:r>
              <w:rPr>
                <w:b/>
                <w:color w:val="FFFFFF"/>
                <w:sz w:val="19"/>
              </w:rPr>
              <w:t>Document source</w:t>
            </w:r>
          </w:p>
        </w:tc>
        <w:tc>
          <w:tcPr>
            <w:tcW w:type="dxa" w:w="5040"/>
            <w:shd w:val="clear" w:color="auto" w:fill="C81010"/>
          </w:tcPr>
          <w:p>
            <w:r/>
            <w:r>
              <w:rPr>
                <w:b/>
                <w:color w:val="FFFFFF"/>
                <w:sz w:val="19"/>
              </w:rPr>
              <w:t>Contenu</w:t>
            </w:r>
          </w:p>
        </w:tc>
      </w:tr>
      <w:tr>
        <w:tc>
          <w:tcPr>
            <w:tcW w:type="dxa" w:w="4464"/>
          </w:tcPr>
          <w:p>
            <w:r/>
            <w:r>
              <w:rPr>
                <w:b w:val="0"/>
                <w:sz w:val="19"/>
              </w:rPr>
              <w:t>DEPARTEMENT - Pièces &amp; Accessoires.docx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sz w:val="19"/>
              </w:rPr>
              <w:t>Étiquettes, colonnes catalogue, duplication, familles, import tarifs, applicabilités</w:t>
            </w:r>
          </w:p>
        </w:tc>
      </w:tr>
      <w:tr>
        <w:tc>
          <w:tcPr>
            <w:tcW w:type="dxa" w:w="4464"/>
          </w:tcPr>
          <w:p>
            <w:r/>
            <w:r>
              <w:rPr>
                <w:b w:val="0"/>
                <w:sz w:val="19"/>
              </w:rPr>
              <w:t>DEPARTEMENT - Stock &amp; inventaire.docx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sz w:val="19"/>
              </w:rPr>
              <w:t>Multi-filtres, export, dépréciation, réappro / back-order</w:t>
            </w:r>
          </w:p>
        </w:tc>
      </w:tr>
      <w:tr>
        <w:tc>
          <w:tcPr>
            <w:tcW w:type="dxa" w:w="4464"/>
          </w:tcPr>
          <w:p>
            <w:r/>
            <w:r>
              <w:rPr>
                <w:b w:val="0"/>
                <w:sz w:val="19"/>
              </w:rPr>
              <w:t>Département VENTES &amp; FACTURATION.docx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sz w:val="19"/>
              </w:rPr>
              <w:t>Filtres, dispo sur documents, envoi mail/SMS, acomptes, picking list, purge devis</w:t>
            </w:r>
          </w:p>
        </w:tc>
      </w:tr>
      <w:tr>
        <w:tc>
          <w:tcPr>
            <w:tcW w:type="dxa" w:w="4464"/>
          </w:tcPr>
          <w:p>
            <w:r/>
            <w:r>
              <w:rPr>
                <w:b w:val="0"/>
                <w:sz w:val="19"/>
              </w:rPr>
              <w:t>Département CONTACTS.docx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sz w:val="19"/>
              </w:rPr>
              <w:t>Fil d’Ariane, boutons fixes, comptes liés, VIP, débiteurs, conditions de paiement, CRM</w:t>
            </w:r>
          </w:p>
        </w:tc>
      </w:tr>
      <w:tr>
        <w:tc>
          <w:tcPr>
            <w:tcW w:type="dxa" w:w="4464"/>
          </w:tcPr>
          <w:p>
            <w:r/>
            <w:r>
              <w:rPr>
                <w:b w:val="0"/>
                <w:sz w:val="19"/>
              </w:rPr>
              <w:t>Inventaire ERP Ducati.docx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sz w:val="19"/>
              </w:rPr>
              <w:t>Workflow d’inventaire complet</w:t>
            </w:r>
          </w:p>
        </w:tc>
      </w:tr>
      <w:tr>
        <w:tc>
          <w:tcPr>
            <w:tcW w:type="dxa" w:w="4464"/>
          </w:tcPr>
          <w:p>
            <w:r/>
            <w:r>
              <w:rPr>
                <w:b w:val="0"/>
                <w:sz w:val="19"/>
              </w:rPr>
              <w:t>Guide de Migration et Structure des Fiches ERP.docx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sz w:val="19"/>
              </w:rPr>
              <w:t>Arborescence familles 3 niveaux + 5 blocs de fiche article</w:t>
            </w:r>
          </w:p>
        </w:tc>
      </w:tr>
      <w:tr>
        <w:tc>
          <w:tcPr>
            <w:tcW w:type="dxa" w:w="4464"/>
          </w:tcPr>
          <w:p>
            <w:r/>
            <w:r>
              <w:rPr>
                <w:b w:val="0"/>
                <w:sz w:val="19"/>
              </w:rPr>
              <w:t>NOTE RESEAU - Programme Aide à la Réparation.docx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sz w:val="19"/>
              </w:rPr>
              <w:t>Aide 15 % pièces moto accidentée (devis &gt; 1 500 € HT)</w:t>
            </w:r>
          </w:p>
        </w:tc>
      </w:tr>
      <w:tr>
        <w:tc>
          <w:tcPr>
            <w:tcW w:type="dxa" w:w="4464"/>
          </w:tcPr>
          <w:p>
            <w:r/>
            <w:r>
              <w:rPr>
                <w:b w:val="0"/>
                <w:sz w:val="19"/>
              </w:rPr>
              <w:t>Formulaire Commande - Moto accidentée.xlsx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sz w:val="19"/>
              </w:rPr>
              <w:t>Format du fichier de commande à envoyer à Ducati</w:t>
            </w:r>
          </w:p>
        </w:tc>
      </w:tr>
      <w:tr>
        <w:tc>
          <w:tcPr>
            <w:tcW w:type="dxa" w:w="4464"/>
          </w:tcPr>
          <w:p>
            <w:r/>
            <w:r>
              <w:rPr>
                <w:b w:val="0"/>
                <w:sz w:val="19"/>
              </w:rPr>
              <w:t>applicabilitiesList_...csv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sz w:val="19"/>
              </w:rPr>
              <w:t>Table d’applicabilité des pièces (modèle / année)</w:t>
            </w:r>
          </w:p>
        </w:tc>
      </w:tr>
    </w:tbl>
    <w:p>
      <w:pPr>
        <w:pBdr>
          <w:bottom w:val="single" w:sz="6" w:space="2" w:color="C81010"/>
        </w:pBdr>
      </w:pPr>
      <w:r>
        <w:rPr>
          <w:b/>
          <w:color w:val="C81010"/>
          <w:sz w:val="30"/>
        </w:rPr>
        <w:t>3. Demandes traitées — réalisé, comment, testé</w:t>
      </w:r>
    </w:p>
    <w:p>
      <w:r>
        <w:rPr>
          <w:i/>
          <w:color w:val="606060"/>
          <w:sz w:val="19"/>
        </w:rPr>
        <w:t>Légende de l'état : ✔ Fait &amp; testé.  Chaque bloc = un module.</w:t>
      </w:r>
    </w:p>
    <w:p>
      <w:r>
        <w:rPr>
          <w:b/>
          <w:color w:val="1A1A1A"/>
          <w:sz w:val="24"/>
        </w:rPr>
        <w:t>3.1 Contacts / CRM   —   PR #1 &amp; #6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C81010"/>
          </w:tcPr>
          <w:p>
            <w:r/>
            <w:r>
              <w:rPr>
                <w:b/>
                <w:color w:val="FFFFFF"/>
                <w:sz w:val="19"/>
              </w:rPr>
              <w:t>Demande client</w:t>
            </w:r>
          </w:p>
        </w:tc>
        <w:tc>
          <w:tcPr>
            <w:tcW w:type="dxa" w:w="5184"/>
            <w:shd w:val="clear" w:color="auto" w:fill="C81010"/>
          </w:tcPr>
          <w:p>
            <w:r/>
            <w:r>
              <w:rPr>
                <w:b/>
                <w:color w:val="FFFFFF"/>
                <w:sz w:val="19"/>
              </w:rPr>
              <w:t>Ce qui a été fait &amp; comment</w:t>
            </w:r>
          </w:p>
        </w:tc>
        <w:tc>
          <w:tcPr>
            <w:tcW w:type="dxa" w:w="1008"/>
            <w:shd w:val="clear" w:color="auto" w:fill="C81010"/>
          </w:tcPr>
          <w:p>
            <w:r/>
            <w:r>
              <w:rPr>
                <w:b/>
                <w:color w:val="FFFFFF"/>
                <w:sz w:val="19"/>
              </w:rPr>
              <w:t>Testé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Conditions de paiement en menu déroulant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sz w:val="19"/>
              </w:rPr>
              <w:t>Champ libre remplacé par une liste : immédiat / 7j / 15j / 30j</w:t>
            </w:r>
          </w:p>
        </w:tc>
        <w:tc>
          <w:tcPr>
            <w:tcW w:type="dxa" w:w="1008"/>
          </w:tcPr>
          <w:p>
            <w:r/>
            <w:r>
              <w:rPr>
                <w:b w:val="0"/>
                <w:sz w:val="19"/>
              </w:rPr>
              <w:t>✔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Étoile VIP + alerte « à surveiller » près du nom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sz w:val="19"/>
              </w:rPr>
              <w:t>Icônes affichées en liste et sur la fiche ; note de motif pour la surveillance (nouvelle colonne en base)</w:t>
            </w:r>
          </w:p>
        </w:tc>
        <w:tc>
          <w:tcPr>
            <w:tcW w:type="dxa" w:w="1008"/>
          </w:tcPr>
          <w:p>
            <w:r/>
            <w:r>
              <w:rPr>
                <w:b w:val="0"/>
                <w:sz w:val="19"/>
              </w:rPr>
              <w:t>✔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Code client visible en colonne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sz w:val="19"/>
              </w:rPr>
              <w:t>Colonne « Code » ajoutée à gauche du nom</w:t>
            </w:r>
          </w:p>
        </w:tc>
        <w:tc>
          <w:tcPr>
            <w:tcW w:type="dxa" w:w="1008"/>
          </w:tcPr>
          <w:p>
            <w:r/>
            <w:r>
              <w:rPr>
                <w:b w:val="0"/>
                <w:sz w:val="19"/>
              </w:rPr>
              <w:t>✔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Comptes liés : héritage + limite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sz w:val="19"/>
              </w:rPr>
              <w:t>Fenêtre de confirmation (hérite mail/tél/adresse) ; maximum 2 fiches liées</w:t>
            </w:r>
          </w:p>
        </w:tc>
        <w:tc>
          <w:tcPr>
            <w:tcW w:type="dxa" w:w="1008"/>
          </w:tcPr>
          <w:p>
            <w:r/>
            <w:r>
              <w:rPr>
                <w:b w:val="0"/>
                <w:sz w:val="19"/>
              </w:rPr>
              <w:t>✔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Alerte client débiteur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sz w:val="19"/>
              </w:rPr>
              <w:t>Fenêtre au chargement de la fiche si solde dû (montant formaté)</w:t>
            </w:r>
          </w:p>
        </w:tc>
        <w:tc>
          <w:tcPr>
            <w:tcW w:type="dxa" w:w="1008"/>
          </w:tcPr>
          <w:p>
            <w:r/>
            <w:r>
              <w:rPr>
                <w:b w:val="0"/>
                <w:sz w:val="19"/>
              </w:rPr>
              <w:t>✔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Intérêt « Piste »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sz w:val="19"/>
              </w:rPr>
              <w:t>Ajouté aux intérêts Route / Sport / Off-road</w:t>
            </w:r>
          </w:p>
        </w:tc>
        <w:tc>
          <w:tcPr>
            <w:tcW w:type="dxa" w:w="1008"/>
          </w:tcPr>
          <w:p>
            <w:r/>
            <w:r>
              <w:rPr>
                <w:b w:val="0"/>
                <w:sz w:val="19"/>
              </w:rPr>
              <w:t>✔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Archiver / fusionner une fiche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sz w:val="19"/>
              </w:rPr>
              <w:t>Archivage (sans suppression, audit préservé) + fusion réassignant les liens sur 11 tables — testé sur base réelle</w:t>
            </w:r>
          </w:p>
        </w:tc>
        <w:tc>
          <w:tcPr>
            <w:tcW w:type="dxa" w:w="1008"/>
          </w:tcPr>
          <w:p>
            <w:r/>
            <w:r>
              <w:rPr>
                <w:b w:val="0"/>
                <w:sz w:val="19"/>
              </w:rPr>
              <w:t>✔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Fil d’Ariane + boutons fixes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sz w:val="19"/>
              </w:rPr>
              <w:t>Fil d’Ariane sur les fiches ; boutons Annuler/Enregistrer collants au défilement</w:t>
            </w:r>
          </w:p>
        </w:tc>
        <w:tc>
          <w:tcPr>
            <w:tcW w:type="dxa" w:w="1008"/>
          </w:tcPr>
          <w:p>
            <w:r/>
            <w:r>
              <w:rPr>
                <w:b w:val="0"/>
                <w:sz w:val="19"/>
              </w:rPr>
              <w:t>✔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Matching client ↔ moto en stock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sz w:val="19"/>
              </w:rPr>
              <w:t>Panneau « Clients intéressés » sur la fiche véhicule + notification e-mail/SMS</w:t>
            </w:r>
          </w:p>
        </w:tc>
        <w:tc>
          <w:tcPr>
            <w:tcW w:type="dxa" w:w="1008"/>
          </w:tcPr>
          <w:p>
            <w:r/>
            <w:r>
              <w:rPr>
                <w:b w:val="0"/>
                <w:sz w:val="19"/>
              </w:rPr>
              <w:t>✔</w:t>
            </w:r>
          </w:p>
        </w:tc>
      </w:tr>
    </w:tbl>
    <w:p/>
    <w:p>
      <w:r>
        <w:rPr>
          <w:b/>
          <w:color w:val="1A1A1A"/>
          <w:sz w:val="24"/>
        </w:rPr>
        <w:t>3.2 Pièces &amp; Accessoires   —   PR #2 &amp; #7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C81010"/>
          </w:tcPr>
          <w:p>
            <w:r/>
            <w:r>
              <w:rPr>
                <w:b/>
                <w:color w:val="FFFFFF"/>
                <w:sz w:val="19"/>
              </w:rPr>
              <w:t>Demande client</w:t>
            </w:r>
          </w:p>
        </w:tc>
        <w:tc>
          <w:tcPr>
            <w:tcW w:type="dxa" w:w="5184"/>
            <w:shd w:val="clear" w:color="auto" w:fill="C81010"/>
          </w:tcPr>
          <w:p>
            <w:r/>
            <w:r>
              <w:rPr>
                <w:b/>
                <w:color w:val="FFFFFF"/>
                <w:sz w:val="19"/>
              </w:rPr>
              <w:t>Ce qui a été fait &amp; comment</w:t>
            </w:r>
          </w:p>
        </w:tc>
        <w:tc>
          <w:tcPr>
            <w:tcW w:type="dxa" w:w="1008"/>
            <w:shd w:val="clear" w:color="auto" w:fill="C81010"/>
          </w:tcPr>
          <w:p>
            <w:r/>
            <w:r>
              <w:rPr>
                <w:b/>
                <w:color w:val="FFFFFF"/>
                <w:sz w:val="19"/>
              </w:rPr>
              <w:t>Testé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Nettoyer et enrichir le catalogue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sz w:val="19"/>
              </w:rPr>
              <w:t>Colonnes Type/Marque retirées ; ajout Dispo fournisseur (pastille V/J/R), Stock réel, Réservé, Disponible, Localisation 2, En proposition, En commande</w:t>
            </w:r>
          </w:p>
        </w:tc>
        <w:tc>
          <w:tcPr>
            <w:tcW w:type="dxa" w:w="1008"/>
          </w:tcPr>
          <w:p>
            <w:r/>
            <w:r>
              <w:rPr>
                <w:b w:val="0"/>
                <w:sz w:val="19"/>
              </w:rPr>
              <w:t>✔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En-tête qui reste au défilement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sz w:val="19"/>
              </w:rPr>
              <w:t>Barre de recherche/filtres et en-tête de tableau collants</w:t>
            </w:r>
          </w:p>
        </w:tc>
        <w:tc>
          <w:tcPr>
            <w:tcW w:type="dxa" w:w="1008"/>
          </w:tcPr>
          <w:p>
            <w:r/>
            <w:r>
              <w:rPr>
                <w:b w:val="0"/>
                <w:sz w:val="19"/>
              </w:rPr>
              <w:t>✔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Duplication rapide de référence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sz w:val="19"/>
              </w:rPr>
              <w:t>Bouton « Dupliquer » en liste et sur la fiche — testé sur base réelle</w:t>
            </w:r>
          </w:p>
        </w:tc>
        <w:tc>
          <w:tcPr>
            <w:tcW w:type="dxa" w:w="1008"/>
          </w:tcPr>
          <w:p>
            <w:r/>
            <w:r>
              <w:rPr>
                <w:b w:val="0"/>
                <w:sz w:val="19"/>
              </w:rPr>
              <w:t>✔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Référence = code-barres par défaut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sz w:val="19"/>
              </w:rPr>
              <w:t>À la création, la référence est enregistrée comme code-barres</w:t>
            </w:r>
          </w:p>
        </w:tc>
        <w:tc>
          <w:tcPr>
            <w:tcW w:type="dxa" w:w="1008"/>
          </w:tcPr>
          <w:p>
            <w:r/>
            <w:r>
              <w:rPr>
                <w:b w:val="0"/>
                <w:sz w:val="19"/>
              </w:rPr>
              <w:t>✔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Case « Publier e-shop » en haut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sz w:val="19"/>
              </w:rPr>
              <w:t>Déplacée en tête de fiche</w:t>
            </w:r>
          </w:p>
        </w:tc>
        <w:tc>
          <w:tcPr>
            <w:tcW w:type="dxa" w:w="1008"/>
          </w:tcPr>
          <w:p>
            <w:r/>
            <w:r>
              <w:rPr>
                <w:b w:val="0"/>
                <w:sz w:val="19"/>
              </w:rPr>
              <w:t>✔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Filtres des mouvements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sz w:val="19"/>
              </w:rPr>
              <w:t>Sens (Tous/Entrée/Sortie) + types de documents + dates</w:t>
            </w:r>
          </w:p>
        </w:tc>
        <w:tc>
          <w:tcPr>
            <w:tcW w:type="dxa" w:w="1008"/>
          </w:tcPr>
          <w:p>
            <w:r/>
            <w:r>
              <w:rPr>
                <w:b w:val="0"/>
                <w:sz w:val="19"/>
              </w:rPr>
              <w:t>✔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Applicabilités d’une référence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sz w:val="19"/>
              </w:rPr>
              <w:t>Nouvel onglet + import du CSV Ducati (modèle/année/qté)</w:t>
            </w:r>
          </w:p>
        </w:tc>
        <w:tc>
          <w:tcPr>
            <w:tcW w:type="dxa" w:w="1008"/>
          </w:tcPr>
          <w:p>
            <w:r/>
            <w:r>
              <w:rPr>
                <w:b w:val="0"/>
                <w:sz w:val="19"/>
              </w:rPr>
              <w:t>✔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Anciennes références liées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sz w:val="19"/>
              </w:rPr>
              <w:t>Section « Anciennes références » dans l’onglet Équivalences</w:t>
            </w:r>
          </w:p>
        </w:tc>
        <w:tc>
          <w:tcPr>
            <w:tcW w:type="dxa" w:w="1008"/>
          </w:tcPr>
          <w:p>
            <w:r/>
            <w:r>
              <w:rPr>
                <w:b w:val="0"/>
                <w:sz w:val="19"/>
              </w:rPr>
              <w:t>✔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Proposer à la commande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sz w:val="19"/>
              </w:rPr>
              <w:t>Bouton fiche + liste (vers la proposition de commande)</w:t>
            </w:r>
          </w:p>
        </w:tc>
        <w:tc>
          <w:tcPr>
            <w:tcW w:type="dxa" w:w="1008"/>
          </w:tcPr>
          <w:p>
            <w:r/>
            <w:r>
              <w:rPr>
                <w:b w:val="0"/>
                <w:sz w:val="19"/>
              </w:rPr>
              <w:t>✔</w:t>
            </w:r>
          </w:p>
        </w:tc>
      </w:tr>
    </w:tbl>
    <w:p/>
    <w:p>
      <w:r>
        <w:rPr>
          <w:b/>
          <w:color w:val="1A1A1A"/>
          <w:sz w:val="24"/>
        </w:rPr>
        <w:t>3.3 Stock &amp; Inventaire   —   PR #3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C81010"/>
          </w:tcPr>
          <w:p>
            <w:r/>
            <w:r>
              <w:rPr>
                <w:b/>
                <w:color w:val="FFFFFF"/>
                <w:sz w:val="19"/>
              </w:rPr>
              <w:t>Demande client</w:t>
            </w:r>
          </w:p>
        </w:tc>
        <w:tc>
          <w:tcPr>
            <w:tcW w:type="dxa" w:w="5184"/>
            <w:shd w:val="clear" w:color="auto" w:fill="C81010"/>
          </w:tcPr>
          <w:p>
            <w:r/>
            <w:r>
              <w:rPr>
                <w:b/>
                <w:color w:val="FFFFFF"/>
                <w:sz w:val="19"/>
              </w:rPr>
              <w:t>Ce qui a été fait &amp; comment</w:t>
            </w:r>
          </w:p>
        </w:tc>
        <w:tc>
          <w:tcPr>
            <w:tcW w:type="dxa" w:w="1008"/>
            <w:shd w:val="clear" w:color="auto" w:fill="C81010"/>
          </w:tcPr>
          <w:p>
            <w:r/>
            <w:r>
              <w:rPr>
                <w:b/>
                <w:color w:val="FFFFFF"/>
                <w:sz w:val="19"/>
              </w:rPr>
              <w:t>Testé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Multi-filtres stock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sz w:val="19"/>
              </w:rPr>
              <w:t>Fournisseur, rayon, dates, en plus des filtres existants</w:t>
            </w:r>
          </w:p>
        </w:tc>
        <w:tc>
          <w:tcPr>
            <w:tcW w:type="dxa" w:w="1008"/>
          </w:tcPr>
          <w:p>
            <w:r/>
            <w:r>
              <w:rPr>
                <w:b w:val="0"/>
                <w:sz w:val="19"/>
              </w:rPr>
              <w:t>✔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Export de l’inventaire filtré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sz w:val="19"/>
              </w:rPr>
              <w:t>Export CSV de la liste affichée</w:t>
            </w:r>
          </w:p>
        </w:tc>
        <w:tc>
          <w:tcPr>
            <w:tcW w:type="dxa" w:w="1008"/>
          </w:tcPr>
          <w:p>
            <w:r/>
            <w:r>
              <w:rPr>
                <w:b w:val="0"/>
                <w:sz w:val="19"/>
              </w:rPr>
              <w:t>✔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Dépréciation de stock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sz w:val="19"/>
              </w:rPr>
              <w:t>Nouveau module : décote % sur la valeur, provision comptable, annulable — testé sur base réelle</w:t>
            </w:r>
          </w:p>
        </w:tc>
        <w:tc>
          <w:tcPr>
            <w:tcW w:type="dxa" w:w="1008"/>
          </w:tcPr>
          <w:p>
            <w:r/>
            <w:r>
              <w:rPr>
                <w:b w:val="0"/>
                <w:sz w:val="19"/>
              </w:rPr>
              <w:t>✔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Tableau réappro / back-order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sz w:val="19"/>
              </w:rPr>
              <w:t>Vue des références sous le minimum ou en négatif</w:t>
            </w:r>
          </w:p>
        </w:tc>
        <w:tc>
          <w:tcPr>
            <w:tcW w:type="dxa" w:w="1008"/>
          </w:tcPr>
          <w:p>
            <w:r/>
            <w:r>
              <w:rPr>
                <w:b w:val="0"/>
                <w:sz w:val="19"/>
              </w:rPr>
              <w:t>✔</w:t>
            </w:r>
          </w:p>
        </w:tc>
      </w:tr>
    </w:tbl>
    <w:p/>
    <w:p>
      <w:r>
        <w:rPr>
          <w:b/>
          <w:color w:val="1A1A1A"/>
          <w:sz w:val="24"/>
        </w:rPr>
        <w:t>3.4 Ventes &amp; Facturation   —   PR #4 &amp; #7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C81010"/>
          </w:tcPr>
          <w:p>
            <w:r/>
            <w:r>
              <w:rPr>
                <w:b/>
                <w:color w:val="FFFFFF"/>
                <w:sz w:val="19"/>
              </w:rPr>
              <w:t>Demande client</w:t>
            </w:r>
          </w:p>
        </w:tc>
        <w:tc>
          <w:tcPr>
            <w:tcW w:type="dxa" w:w="5184"/>
            <w:shd w:val="clear" w:color="auto" w:fill="C81010"/>
          </w:tcPr>
          <w:p>
            <w:r/>
            <w:r>
              <w:rPr>
                <w:b/>
                <w:color w:val="FFFFFF"/>
                <w:sz w:val="19"/>
              </w:rPr>
              <w:t>Ce qui a été fait &amp; comment</w:t>
            </w:r>
          </w:p>
        </w:tc>
        <w:tc>
          <w:tcPr>
            <w:tcW w:type="dxa" w:w="1008"/>
            <w:shd w:val="clear" w:color="auto" w:fill="C81010"/>
          </w:tcPr>
          <w:p>
            <w:r/>
            <w:r>
              <w:rPr>
                <w:b/>
                <w:color w:val="FFFFFF"/>
                <w:sz w:val="19"/>
              </w:rPr>
              <w:t>Testé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Filtres de la page Ventes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sz w:val="19"/>
              </w:rPr>
              <w:t>Département (E-shop/magasin), type de doc, contenu, dates, type client, recherche</w:t>
            </w:r>
          </w:p>
        </w:tc>
        <w:tc>
          <w:tcPr>
            <w:tcW w:type="dxa" w:w="1008"/>
          </w:tcPr>
          <w:p>
            <w:r/>
            <w:r>
              <w:rPr>
                <w:b w:val="0"/>
                <w:sz w:val="19"/>
              </w:rPr>
              <w:t>✔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Statut de disponibilité sur documents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sz w:val="19"/>
              </w:rPr>
              <w:t>Pastille verte/orange/rouge + pourcentage, par ligne et par document</w:t>
            </w:r>
          </w:p>
        </w:tc>
        <w:tc>
          <w:tcPr>
            <w:tcW w:type="dxa" w:w="1008"/>
          </w:tcPr>
          <w:p>
            <w:r/>
            <w:r>
              <w:rPr>
                <w:b w:val="0"/>
                <w:sz w:val="19"/>
              </w:rPr>
              <w:t>✔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Acomptes visibles en liste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sz w:val="19"/>
              </w:rPr>
              <w:t>Badges Reçu (vert) / Solde dû (rouge) / Payé</w:t>
            </w:r>
          </w:p>
        </w:tc>
        <w:tc>
          <w:tcPr>
            <w:tcW w:type="dxa" w:w="1008"/>
          </w:tcPr>
          <w:p>
            <w:r/>
            <w:r>
              <w:rPr>
                <w:b w:val="0"/>
                <w:sz w:val="19"/>
              </w:rPr>
              <w:t>✔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Actions rapides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sz w:val="19"/>
              </w:rPr>
              <w:t>Supprimer / dupliquer / imprimer un document</w:t>
            </w:r>
          </w:p>
        </w:tc>
        <w:tc>
          <w:tcPr>
            <w:tcW w:type="dxa" w:w="1008"/>
          </w:tcPr>
          <w:p>
            <w:r/>
            <w:r>
              <w:rPr>
                <w:b w:val="0"/>
                <w:sz w:val="19"/>
              </w:rPr>
              <w:t>✔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Envoi par e-mail / SMS + historique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sz w:val="19"/>
              </w:rPr>
              <w:t>Boutons sur la fiche ; e-mail via Microsoft Graph (voir §4) ; trace dans la fiche client</w:t>
            </w:r>
          </w:p>
        </w:tc>
        <w:tc>
          <w:tcPr>
            <w:tcW w:type="dxa" w:w="1008"/>
          </w:tcPr>
          <w:p>
            <w:r/>
            <w:r>
              <w:rPr>
                <w:b w:val="0"/>
                <w:sz w:val="19"/>
              </w:rPr>
              <w:t>✔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Picking list digitale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sz w:val="19"/>
              </w:rPr>
              <w:t>Nouveau module : préparation par document, localisation, avancement — testé sur base réelle</w:t>
            </w:r>
          </w:p>
        </w:tc>
        <w:tc>
          <w:tcPr>
            <w:tcW w:type="dxa" w:w="1008"/>
          </w:tcPr>
          <w:p>
            <w:r/>
            <w:r>
              <w:rPr>
                <w:b w:val="0"/>
                <w:sz w:val="19"/>
              </w:rPr>
              <w:t>✔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Purge des devis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sz w:val="19"/>
              </w:rPr>
              <w:t>Suppression des devis antérieurs à une date (jamais les factures)</w:t>
            </w:r>
          </w:p>
        </w:tc>
        <w:tc>
          <w:tcPr>
            <w:tcW w:type="dxa" w:w="1008"/>
          </w:tcPr>
          <w:p>
            <w:r/>
            <w:r>
              <w:rPr>
                <w:b w:val="0"/>
                <w:sz w:val="19"/>
              </w:rPr>
              <w:t>✔</w:t>
            </w:r>
          </w:p>
        </w:tc>
      </w:tr>
    </w:tbl>
    <w:p/>
    <w:p>
      <w:r>
        <w:rPr>
          <w:b/>
          <w:color w:val="1A1A1A"/>
          <w:sz w:val="24"/>
        </w:rPr>
        <w:t>3.5 Commandes / Documents   —   PR #5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C81010"/>
          </w:tcPr>
          <w:p>
            <w:r/>
            <w:r>
              <w:rPr>
                <w:b/>
                <w:color w:val="FFFFFF"/>
                <w:sz w:val="19"/>
              </w:rPr>
              <w:t>Demande client</w:t>
            </w:r>
          </w:p>
        </w:tc>
        <w:tc>
          <w:tcPr>
            <w:tcW w:type="dxa" w:w="5184"/>
            <w:shd w:val="clear" w:color="auto" w:fill="C81010"/>
          </w:tcPr>
          <w:p>
            <w:r/>
            <w:r>
              <w:rPr>
                <w:b/>
                <w:color w:val="FFFFFF"/>
                <w:sz w:val="19"/>
              </w:rPr>
              <w:t>Ce qui a été fait &amp; comment</w:t>
            </w:r>
          </w:p>
        </w:tc>
        <w:tc>
          <w:tcPr>
            <w:tcW w:type="dxa" w:w="1008"/>
            <w:shd w:val="clear" w:color="auto" w:fill="C81010"/>
          </w:tcPr>
          <w:p>
            <w:r/>
            <w:r>
              <w:rPr>
                <w:b/>
                <w:color w:val="FFFFFF"/>
                <w:sz w:val="19"/>
              </w:rPr>
              <w:t>Testé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Formulaire moto accidentée + aide 15 %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sz w:val="19"/>
              </w:rPr>
              <w:t>Calcul d’éligibilité (pièces &gt; 1 500 € HT), remise 15 %, export du fichier de commande (Excel) et préparation de l’e-mail vers Technique@ducati.fr</w:t>
            </w:r>
          </w:p>
        </w:tc>
        <w:tc>
          <w:tcPr>
            <w:tcW w:type="dxa" w:w="1008"/>
          </w:tcPr>
          <w:p>
            <w:r/>
            <w:r>
              <w:rPr>
                <w:b w:val="0"/>
                <w:sz w:val="19"/>
              </w:rPr>
              <w:t>✔</w:t>
            </w:r>
          </w:p>
        </w:tc>
      </w:tr>
    </w:tbl>
    <w:p/>
    <w:p>
      <w:pPr>
        <w:pBdr>
          <w:bottom w:val="single" w:sz="6" w:space="2" w:color="C81010"/>
        </w:pBdr>
      </w:pPr>
      <w:r>
        <w:rPr>
          <w:b/>
          <w:color w:val="C81010"/>
          <w:sz w:val="30"/>
        </w:rPr>
        <w:t>4. Envoi des e-mails — solution retenue</w:t>
      </w:r>
    </w:p>
    <w:p>
      <w:r>
        <w:rPr>
          <w:i w:val="0"/>
          <w:sz w:val="21"/>
        </w:rPr>
        <w:t>Le client ne souhaitait pas dépendre d'un compte e-mail externe (type Resend) à créer puis migrer. Nous avons donc branché l'envoi sur Microsoft Graph, c'est-à-dire la boîte Outlook de la société (domenico@ducatibxl.be), déjà utilisée pour la réception des e-mails dans les fiches clients.</w:t>
      </w:r>
    </w:p>
    <w:p>
      <w:pPr>
        <w:pStyle w:val="ListBullet"/>
      </w:pPr>
      <w:r>
        <w:rPr>
          <w:sz w:val="20"/>
        </w:rPr>
        <w:t>Avantage : gratuit (inclus dans Microsoft 365), les e-mails partent de la vraie adresse de la concession, et une trace apparaît dans « Éléments envoyés » puis sur la fiche client.</w:t>
      </w:r>
    </w:p>
    <w:p>
      <w:pPr>
        <w:pStyle w:val="ListBullet"/>
      </w:pPr>
      <w:r>
        <w:rPr>
          <w:sz w:val="20"/>
        </w:rPr>
        <w:t>État : testé en conditions réelles — un e-mail de test a été envoyé et accepté par Microsoft Graph (réponse « ok »).</w:t>
      </w:r>
    </w:p>
    <w:p>
      <w:r>
        <w:rPr>
          <w:i w:val="0"/>
          <w:color w:val="606060"/>
          <w:sz w:val="20"/>
        </w:rPr>
        <w:t>Le SMS reste en attente d'un fournisseur dédié (envoi payant type Twilio) : le circuit technique est prêt (file d'attente + historique), il ne manque que la clé du fournisseur.</w:t>
      </w:r>
    </w:p>
    <w:p>
      <w:pPr>
        <w:pBdr>
          <w:bottom w:val="single" w:sz="6" w:space="2" w:color="C81010"/>
        </w:pBdr>
      </w:pPr>
      <w:r>
        <w:rPr>
          <w:b/>
          <w:color w:val="C81010"/>
          <w:sz w:val="30"/>
        </w:rPr>
        <w:t>5. Vérifications &amp; tests réalisés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6048"/>
            <w:shd w:val="clear" w:color="auto" w:fill="C81010"/>
          </w:tcPr>
          <w:p>
            <w:r/>
            <w:r>
              <w:rPr>
                <w:b/>
                <w:color w:val="FFFFFF"/>
                <w:sz w:val="19"/>
              </w:rPr>
              <w:t>Vérification</w:t>
            </w:r>
          </w:p>
        </w:tc>
        <w:tc>
          <w:tcPr>
            <w:tcW w:type="dxa" w:w="3456"/>
            <w:shd w:val="clear" w:color="auto" w:fill="C81010"/>
          </w:tcPr>
          <w:p>
            <w:r/>
            <w:r>
              <w:rPr>
                <w:b/>
                <w:color w:val="FFFFFF"/>
                <w:sz w:val="19"/>
              </w:rPr>
              <w:t>Résultat</w:t>
            </w:r>
          </w:p>
        </w:tc>
      </w:tr>
      <w:tr>
        <w:tc>
          <w:tcPr>
            <w:tcW w:type="dxa" w:w="6048"/>
          </w:tcPr>
          <w:p>
            <w:r/>
            <w:r>
              <w:rPr>
                <w:b w:val="0"/>
                <w:sz w:val="19"/>
              </w:rPr>
              <w:t>Compilation du projet (build) à chaque lot + version intégrée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19"/>
              </w:rPr>
              <w:t>OK — sans erreur</w:t>
            </w:r>
          </w:p>
        </w:tc>
      </w:tr>
      <w:tr>
        <w:tc>
          <w:tcPr>
            <w:tcW w:type="dxa" w:w="6048"/>
          </w:tcPr>
          <w:p>
            <w:r/>
            <w:r>
              <w:rPr>
                <w:b w:val="0"/>
                <w:sz w:val="19"/>
              </w:rPr>
              <w:t>Évolutions de base de données appliquées (6) + sécurité RLS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19"/>
              </w:rPr>
              <w:t>OK — vérifiées</w:t>
            </w:r>
          </w:p>
        </w:tc>
      </w:tr>
      <w:tr>
        <w:tc>
          <w:tcPr>
            <w:tcW w:type="dxa" w:w="6048"/>
          </w:tcPr>
          <w:p>
            <w:r/>
            <w:r>
              <w:rPr>
                <w:b w:val="0"/>
                <w:sz w:val="19"/>
              </w:rPr>
              <w:t>Duplication d’article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19"/>
              </w:rPr>
              <w:t>OK — testé sur la base réelle</w:t>
            </w:r>
          </w:p>
        </w:tc>
      </w:tr>
      <w:tr>
        <w:tc>
          <w:tcPr>
            <w:tcW w:type="dxa" w:w="6048"/>
          </w:tcPr>
          <w:p>
            <w:r/>
            <w:r>
              <w:rPr>
                <w:b w:val="0"/>
                <w:sz w:val="19"/>
              </w:rPr>
              <w:t>Fusion de fiches contact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19"/>
              </w:rPr>
              <w:t>OK — testé sur la base réelle</w:t>
            </w:r>
          </w:p>
        </w:tc>
      </w:tr>
      <w:tr>
        <w:tc>
          <w:tcPr>
            <w:tcW w:type="dxa" w:w="6048"/>
          </w:tcPr>
          <w:p>
            <w:r/>
            <w:r>
              <w:rPr>
                <w:b w:val="0"/>
                <w:sz w:val="19"/>
              </w:rPr>
              <w:t>Dépréciation, picking list, applicabilité, notifications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19"/>
              </w:rPr>
              <w:t>OK — testés sur la base réelle</w:t>
            </w:r>
          </w:p>
        </w:tc>
      </w:tr>
      <w:tr>
        <w:tc>
          <w:tcPr>
            <w:tcW w:type="dxa" w:w="6048"/>
          </w:tcPr>
          <w:p>
            <w:r/>
            <w:r>
              <w:rPr>
                <w:b w:val="0"/>
                <w:sz w:val="19"/>
              </w:rPr>
              <w:t>Calcul de disponibilité des documents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19"/>
              </w:rPr>
              <w:t>OK — test unitaire</w:t>
            </w:r>
          </w:p>
        </w:tc>
      </w:tr>
      <w:tr>
        <w:tc>
          <w:tcPr>
            <w:tcW w:type="dxa" w:w="6048"/>
          </w:tcPr>
          <w:p>
            <w:r/>
            <w:r>
              <w:rPr>
                <w:b w:val="0"/>
                <w:sz w:val="19"/>
              </w:rPr>
              <w:t>Envoi d’e-mail via Microsoft Graph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19"/>
              </w:rPr>
              <w:t>OK — envoi réel accepté</w:t>
            </w:r>
          </w:p>
        </w:tc>
      </w:tr>
      <w:tr>
        <w:tc>
          <w:tcPr>
            <w:tcW w:type="dxa" w:w="6048"/>
          </w:tcPr>
          <w:p>
            <w:r/>
            <w:r>
              <w:rPr>
                <w:b w:val="0"/>
                <w:sz w:val="19"/>
              </w:rPr>
              <w:t>Serveur de test + connexion + catalogue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19"/>
              </w:rPr>
              <w:t>OK — nouvelles colonnes vérifiées à l’écran</w:t>
            </w:r>
          </w:p>
        </w:tc>
      </w:tr>
    </w:tbl>
    <w:p>
      <w:r>
        <w:rPr>
          <w:i/>
          <w:color w:val="606060"/>
          <w:sz w:val="19"/>
        </w:rPr>
        <w:t>Note de transparence : les tests portent sur la logique métier (base de données réelle), la compilation et l'envoi e-mail. Une relecture visuelle écran par écran reste recommandée à la validation des Pull Requests.</w:t>
      </w:r>
    </w:p>
    <w:p>
      <w:pPr>
        <w:pBdr>
          <w:bottom w:val="single" w:sz="6" w:space="2" w:color="C81010"/>
        </w:pBdr>
      </w:pPr>
      <w:r>
        <w:rPr>
          <w:b/>
          <w:color w:val="C81010"/>
          <w:sz w:val="30"/>
        </w:rPr>
        <w:t>6. Points restants (hors périmètre de ce lot)</w:t>
      </w:r>
    </w:p>
    <w:p>
      <w:pPr>
        <w:pStyle w:val="ListBullet"/>
      </w:pPr>
      <w:r>
        <w:rPr>
          <w:sz w:val="20"/>
        </w:rPr>
        <w:t>SMS : fournisseur d'envoi à choisir et à connecter (payant).</w:t>
      </w:r>
    </w:p>
    <w:p>
      <w:pPr>
        <w:pStyle w:val="ListBullet"/>
      </w:pPr>
      <w:r>
        <w:rPr>
          <w:sz w:val="20"/>
        </w:rPr>
        <w:t>Étiquettes « intelligentes » Brother (rapprochement réception ↔ client sur l'étiquette).</w:t>
      </w:r>
    </w:p>
    <w:p>
      <w:pPr>
        <w:pStyle w:val="ListBullet"/>
      </w:pPr>
      <w:r>
        <w:rPr>
          <w:sz w:val="20"/>
        </w:rPr>
        <w:t>Reclassement de familles par lot (« Cascade » assistée).</w:t>
      </w:r>
    </w:p>
    <w:p>
      <w:pPr>
        <w:pStyle w:val="ListBullet"/>
      </w:pPr>
      <w:r>
        <w:rPr>
          <w:sz w:val="20"/>
        </w:rPr>
        <w:t>Modèles PDF Bon de livraison / Facture calqués sur les exemples fournis.</w:t>
      </w:r>
    </w:p>
    <w:p>
      <w:pPr>
        <w:pStyle w:val="ListBullet"/>
      </w:pPr>
      <w:r>
        <w:rPr>
          <w:sz w:val="20"/>
        </w:rPr>
        <w:t>Import des listes clients / articles G8 (le mécanisme d'import existe déjà).</w:t>
      </w:r>
    </w:p>
    <w:p>
      <w:r>
        <w:rPr>
          <w:i w:val="0"/>
          <w:color w:val="606060"/>
          <w:sz w:val="20"/>
        </w:rPr>
        <w:t>Ces points sont documentés dans le dépôt (rapport de session technique) et n'empêchent pas la mise en service des fonctionnalités livrées.</w:t>
      </w:r>
    </w:p>
    <w:p/>
    <w:p>
      <w:pPr>
        <w:jc w:val="center"/>
      </w:pPr>
      <w:r>
        <w:rPr>
          <w:i/>
          <w:color w:val="606060"/>
          <w:sz w:val="17"/>
        </w:rPr>
        <w:t>— Document généré automatiquement · The Maul · pour Ducati Bruxelles / Italobike 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